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_GBK" w:eastAsia="方正小标宋简体" w:cs="方正小标宋_GBK"/>
          <w:bCs/>
          <w:sz w:val="44"/>
          <w:szCs w:val="44"/>
          <w:lang w:val="en-US" w:eastAsia="zh-CN"/>
        </w:rPr>
      </w:pPr>
      <w:bookmarkStart w:id="0" w:name="_GoBack"/>
      <w:bookmarkEnd w:id="0"/>
      <w:r>
        <w:rPr>
          <w:rFonts w:hint="eastAsia" w:ascii="方正小标宋简体" w:hAnsi="方正小标宋_GBK" w:eastAsia="方正小标宋简体" w:cs="方正小标宋_GBK"/>
          <w:bCs/>
          <w:sz w:val="44"/>
          <w:szCs w:val="44"/>
        </w:rPr>
        <w:t>甘肃省平凉市气象</w:t>
      </w:r>
      <w:r>
        <w:rPr>
          <w:rFonts w:hint="eastAsia" w:ascii="方正小标宋简体" w:hAnsi="方正小标宋_GBK" w:eastAsia="方正小标宋简体" w:cs="方正小标宋_GBK"/>
          <w:bCs/>
          <w:sz w:val="44"/>
          <w:szCs w:val="44"/>
          <w:lang w:val="en-US" w:eastAsia="zh-CN"/>
        </w:rPr>
        <w:t>局</w:t>
      </w:r>
    </w:p>
    <w:p>
      <w:pPr>
        <w:spacing w:line="560" w:lineRule="exact"/>
        <w:jc w:val="center"/>
        <w:rPr>
          <w:rFonts w:ascii="方正小标宋简体" w:hAnsi="方正小标宋_GBK" w:eastAsia="方正小标宋简体" w:cs="方正小标宋_GBK"/>
          <w:bCs/>
          <w:sz w:val="44"/>
          <w:szCs w:val="44"/>
        </w:rPr>
      </w:pPr>
      <w:r>
        <w:rPr>
          <w:rFonts w:ascii="方正小标宋简体" w:hAnsi="方正小标宋_GBK" w:eastAsia="方正小标宋简体" w:cs="方正小标宋_GBK"/>
          <w:bCs/>
          <w:sz w:val="44"/>
          <w:szCs w:val="44"/>
        </w:rPr>
        <w:t>20</w:t>
      </w:r>
      <w:r>
        <w:rPr>
          <w:rFonts w:hint="eastAsia" w:ascii="方正小标宋简体" w:hAnsi="方正小标宋_GBK" w:eastAsia="方正小标宋简体" w:cs="方正小标宋_GBK"/>
          <w:bCs/>
          <w:sz w:val="44"/>
          <w:szCs w:val="44"/>
        </w:rPr>
        <w:t>2</w:t>
      </w:r>
      <w:r>
        <w:rPr>
          <w:rFonts w:hint="eastAsia" w:ascii="方正小标宋简体" w:hAnsi="方正小标宋_GBK" w:eastAsia="方正小标宋简体" w:cs="方正小标宋_GBK"/>
          <w:bCs/>
          <w:sz w:val="44"/>
          <w:szCs w:val="44"/>
          <w:lang w:val="en-US" w:eastAsia="zh-CN"/>
        </w:rPr>
        <w:t>4</w:t>
      </w:r>
      <w:r>
        <w:rPr>
          <w:rFonts w:ascii="方正小标宋简体" w:hAnsi="方正小标宋_GBK" w:eastAsia="方正小标宋简体" w:cs="方正小标宋_GBK"/>
          <w:bCs/>
          <w:sz w:val="44"/>
          <w:szCs w:val="44"/>
        </w:rPr>
        <w:t>年政府信息公开</w:t>
      </w:r>
      <w:r>
        <w:rPr>
          <w:rFonts w:hint="eastAsia" w:ascii="方正小标宋简体" w:hAnsi="方正小标宋_GBK" w:eastAsia="方正小标宋简体" w:cs="方正小标宋_GBK"/>
          <w:bCs/>
          <w:sz w:val="44"/>
          <w:szCs w:val="44"/>
        </w:rPr>
        <w:t>工作年度报告</w:t>
      </w:r>
    </w:p>
    <w:p>
      <w:pPr>
        <w:spacing w:line="560" w:lineRule="exact"/>
        <w:jc w:val="center"/>
        <w:rPr>
          <w:rFonts w:ascii="仿宋_GB2312" w:hAnsi="仿宋_GB2312" w:eastAsia="仿宋_GB2312" w:cs="仿宋_GB2312"/>
          <w:bCs/>
          <w:sz w:val="32"/>
          <w:szCs w:val="32"/>
        </w:rPr>
      </w:pPr>
    </w:p>
    <w:p>
      <w:pPr>
        <w:spacing w:line="56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年度报告由政务公开工作总体情况、主动公开政府信息情况、收到和处理政府信息公开申请情况、政府信息公开行政复议、行政诉讼情况、政府信息公开工作存在的主要问题及改进情况、其他需要报告的事项六部分组成，报告中所列数据统计期限为202</w:t>
      </w: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rPr>
        <w:t>年1月1日至202</w:t>
      </w: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rPr>
        <w:t>年12月31日。</w:t>
      </w:r>
    </w:p>
    <w:p>
      <w:pPr>
        <w:spacing w:line="560" w:lineRule="exact"/>
        <w:ind w:firstLine="640" w:firstLineChars="200"/>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一、总体情况</w:t>
      </w:r>
    </w:p>
    <w:p>
      <w:pPr>
        <w:spacing w:line="56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202</w:t>
      </w: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rPr>
        <w:t>年，平凉市气象局在省气象局和市委、市政府的坚强领导下，以习近平新时代中国特色社会主义思想为指导，进一步深化政府信息公开工作完善。按照国务院办公厅、市政府、省气象局的统一部署，结合实际，紧紧围绕全市气象部门中心工作和公众对气象工作的关切，不断增强气象部门政府信息公开实效，规范公开程序，丰富公开内容，切实做好气象部门政府信息公开工作。平凉局202</w:t>
      </w:r>
      <w:r>
        <w:rPr>
          <w:rFonts w:hint="eastAsia" w:ascii="仿宋_GB2312" w:hAnsi="仿宋_GB2312" w:eastAsia="仿宋_GB2312" w:cs="仿宋_GB2312"/>
          <w:color w:val="000000"/>
          <w:kern w:val="0"/>
          <w:sz w:val="32"/>
          <w:szCs w:val="32"/>
          <w:lang w:val="en-US" w:eastAsia="zh-CN"/>
        </w:rPr>
        <w:t>4</w:t>
      </w:r>
      <w:r>
        <w:rPr>
          <w:rFonts w:hint="eastAsia" w:ascii="仿宋_GB2312" w:hAnsi="仿宋_GB2312" w:eastAsia="仿宋_GB2312" w:cs="仿宋_GB2312"/>
          <w:color w:val="000000"/>
          <w:kern w:val="0"/>
          <w:sz w:val="32"/>
          <w:szCs w:val="32"/>
        </w:rPr>
        <w:t>年通过甘肃省气象局门户网站、平凉市人民政府网站局官网主动公开各类信息</w:t>
      </w:r>
      <w:r>
        <w:rPr>
          <w:rFonts w:hint="eastAsia" w:ascii="仿宋_GB2312" w:hAnsi="仿宋_GB2312" w:eastAsia="仿宋_GB2312" w:cs="仿宋_GB2312"/>
          <w:color w:val="000000"/>
          <w:kern w:val="0"/>
          <w:sz w:val="32"/>
          <w:szCs w:val="32"/>
          <w:lang w:val="en-US" w:eastAsia="zh-CN"/>
        </w:rPr>
        <w:t>105</w:t>
      </w:r>
      <w:r>
        <w:rPr>
          <w:rFonts w:hint="eastAsia" w:ascii="仿宋_GB2312" w:hAnsi="仿宋_GB2312" w:eastAsia="仿宋_GB2312" w:cs="仿宋_GB2312"/>
          <w:color w:val="000000"/>
          <w:kern w:val="0"/>
          <w:sz w:val="32"/>
          <w:szCs w:val="32"/>
        </w:rPr>
        <w:t>条，向</w:t>
      </w:r>
      <w:r>
        <w:rPr>
          <w:rFonts w:hint="eastAsia" w:ascii="仿宋_GB2312" w:hAnsi="仿宋_GB2312" w:eastAsia="仿宋_GB2312" w:cs="仿宋_GB2312"/>
          <w:color w:val="000000"/>
          <w:kern w:val="0"/>
          <w:sz w:val="32"/>
          <w:szCs w:val="32"/>
          <w:lang w:eastAsia="zh-CN"/>
        </w:rPr>
        <w:t>市委、市政府</w:t>
      </w:r>
      <w:r>
        <w:rPr>
          <w:rFonts w:hint="eastAsia" w:ascii="仿宋_GB2312" w:hAnsi="仿宋_GB2312" w:eastAsia="仿宋_GB2312" w:cs="仿宋_GB2312"/>
          <w:color w:val="000000"/>
          <w:kern w:val="0"/>
          <w:sz w:val="32"/>
          <w:szCs w:val="32"/>
        </w:rPr>
        <w:t>报送信息</w:t>
      </w:r>
      <w:r>
        <w:rPr>
          <w:rFonts w:hint="eastAsia" w:ascii="仿宋_GB2312" w:hAnsi="仿宋_GB2312" w:eastAsia="仿宋_GB2312" w:cs="仿宋_GB2312"/>
          <w:color w:val="000000"/>
          <w:kern w:val="0"/>
          <w:sz w:val="32"/>
          <w:szCs w:val="32"/>
          <w:lang w:val="en-US" w:eastAsia="zh-CN"/>
        </w:rPr>
        <w:t>391</w:t>
      </w:r>
      <w:r>
        <w:rPr>
          <w:rFonts w:hint="eastAsia" w:ascii="仿宋_GB2312" w:hAnsi="仿宋_GB2312" w:eastAsia="仿宋_GB2312" w:cs="仿宋_GB2312"/>
          <w:color w:val="000000"/>
          <w:kern w:val="0"/>
          <w:sz w:val="32"/>
          <w:szCs w:val="32"/>
        </w:rPr>
        <w:t>条。接受平凉日报、</w:t>
      </w:r>
      <w:r>
        <w:rPr>
          <w:rFonts w:hint="eastAsia" w:ascii="仿宋_GB2312" w:hAnsi="仿宋_GB2312" w:eastAsia="仿宋_GB2312" w:cs="仿宋_GB2312"/>
          <w:color w:val="000000"/>
          <w:kern w:val="0"/>
          <w:sz w:val="32"/>
          <w:szCs w:val="32"/>
          <w:lang w:eastAsia="zh-CN"/>
        </w:rPr>
        <w:t>崆峒区融媒体</w:t>
      </w:r>
      <w:r>
        <w:rPr>
          <w:rFonts w:hint="eastAsia" w:ascii="仿宋_GB2312" w:hAnsi="仿宋_GB2312" w:eastAsia="仿宋_GB2312" w:cs="仿宋_GB2312"/>
          <w:color w:val="000000"/>
          <w:kern w:val="0"/>
          <w:sz w:val="32"/>
          <w:szCs w:val="32"/>
        </w:rPr>
        <w:t>等地方媒体采访</w:t>
      </w:r>
      <w:r>
        <w:rPr>
          <w:rFonts w:hint="eastAsia" w:ascii="仿宋_GB2312" w:hAnsi="仿宋_GB2312" w:eastAsia="仿宋_GB2312" w:cs="仿宋_GB2312"/>
          <w:color w:val="000000"/>
          <w:kern w:val="0"/>
          <w:sz w:val="32"/>
          <w:szCs w:val="32"/>
          <w:lang w:val="en-US" w:eastAsia="zh-CN"/>
        </w:rPr>
        <w:t>6</w:t>
      </w:r>
      <w:r>
        <w:rPr>
          <w:rFonts w:hint="eastAsia" w:ascii="仿宋_GB2312" w:hAnsi="仿宋_GB2312" w:eastAsia="仿宋_GB2312" w:cs="仿宋_GB2312"/>
          <w:color w:val="000000"/>
          <w:kern w:val="0"/>
          <w:sz w:val="32"/>
          <w:szCs w:val="32"/>
        </w:rPr>
        <w:t>次，向当地媒体提供新闻稿件</w:t>
      </w:r>
      <w:r>
        <w:rPr>
          <w:rFonts w:hint="eastAsia" w:ascii="仿宋_GB2312" w:hAnsi="仿宋_GB2312" w:eastAsia="仿宋_GB2312" w:cs="仿宋_GB2312"/>
          <w:color w:val="000000"/>
          <w:kern w:val="0"/>
          <w:sz w:val="32"/>
          <w:szCs w:val="32"/>
          <w:lang w:val="en-US" w:eastAsia="zh-CN"/>
        </w:rPr>
        <w:t>8</w:t>
      </w:r>
      <w:r>
        <w:rPr>
          <w:rFonts w:hint="eastAsia" w:ascii="仿宋_GB2312" w:hAnsi="仿宋_GB2312" w:eastAsia="仿宋_GB2312" w:cs="仿宋_GB2312"/>
          <w:color w:val="000000"/>
          <w:kern w:val="0"/>
          <w:sz w:val="32"/>
          <w:szCs w:val="32"/>
        </w:rPr>
        <w:t>篇。全年共收到依申请公开事项0条，</w:t>
      </w:r>
      <w:r>
        <w:rPr>
          <w:rFonts w:hint="eastAsia" w:ascii="仿宋_GB2312" w:hAnsi="仿宋_GB2312" w:eastAsia="仿宋_GB2312" w:cs="仿宋_GB2312"/>
          <w:color w:val="000000"/>
          <w:kern w:val="0"/>
          <w:sz w:val="32"/>
          <w:szCs w:val="32"/>
          <w:lang w:eastAsia="zh-CN"/>
        </w:rPr>
        <w:t>处理行政许可</w:t>
      </w:r>
      <w:r>
        <w:rPr>
          <w:rFonts w:hint="eastAsia" w:ascii="仿宋_GB2312" w:hAnsi="仿宋_GB2312" w:eastAsia="仿宋_GB2312" w:cs="仿宋_GB2312"/>
          <w:color w:val="000000"/>
          <w:kern w:val="0"/>
          <w:sz w:val="32"/>
          <w:szCs w:val="32"/>
          <w:lang w:val="en-US" w:eastAsia="zh-CN"/>
        </w:rPr>
        <w:t>23项，</w:t>
      </w:r>
      <w:r>
        <w:rPr>
          <w:rFonts w:hint="eastAsia" w:ascii="仿宋_GB2312" w:hAnsi="仿宋_GB2312" w:eastAsia="仿宋_GB2312" w:cs="仿宋_GB2312"/>
          <w:color w:val="000000"/>
          <w:kern w:val="0"/>
          <w:sz w:val="32"/>
          <w:szCs w:val="32"/>
        </w:rPr>
        <w:t>无行政复议或行政诉讼。</w:t>
      </w:r>
    </w:p>
    <w:p>
      <w:pPr>
        <w:spacing w:line="560" w:lineRule="exact"/>
        <w:ind w:firstLine="640" w:firstLineChars="200"/>
        <w:rPr>
          <w:rFonts w:hint="eastAsia" w:ascii="黑体" w:hAnsi="黑体" w:eastAsia="黑体" w:cs="黑体"/>
          <w:kern w:val="2"/>
          <w:sz w:val="32"/>
          <w:szCs w:val="22"/>
        </w:rPr>
      </w:pPr>
      <w:r>
        <w:rPr>
          <w:rFonts w:hint="eastAsia" w:ascii="黑体" w:hAnsi="黑体" w:eastAsia="黑体" w:cs="黑体"/>
          <w:b w:val="0"/>
          <w:bCs w:val="0"/>
          <w:kern w:val="2"/>
          <w:sz w:val="32"/>
          <w:szCs w:val="22"/>
        </w:rPr>
        <w:t>二、主动公开政府信息情况</w:t>
      </w:r>
    </w:p>
    <w:tbl>
      <w:tblPr>
        <w:tblStyle w:val="6"/>
        <w:tblW w:w="9740" w:type="dxa"/>
        <w:jc w:val="center"/>
        <w:tblLayout w:type="autofit"/>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本年</w:t>
            </w:r>
            <w:r>
              <w:rPr>
                <w:rFonts w:ascii="宋体" w:hAnsi="宋体" w:cs="宋体"/>
                <w:kern w:val="0"/>
                <w:sz w:val="20"/>
                <w:szCs w:val="20"/>
              </w:rPr>
              <w:t>制</w:t>
            </w:r>
            <w:r>
              <w:rPr>
                <w:rFonts w:hint="eastAsia" w:ascii="宋体" w:hAnsi="宋体" w:cs="宋体"/>
                <w:kern w:val="0"/>
                <w:sz w:val="20"/>
                <w:szCs w:val="20"/>
              </w:rPr>
              <w:t>发件</w:t>
            </w:r>
            <w:r>
              <w:rPr>
                <w:rFonts w:ascii="宋体" w:hAnsi="宋体" w:cs="宋体"/>
                <w:kern w:val="0"/>
                <w:sz w:val="20"/>
                <w:szCs w:val="20"/>
              </w:rPr>
              <w:t>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现行有效件</w:t>
            </w:r>
            <w:r>
              <w:rPr>
                <w:rFonts w:ascii="宋体" w:hAnsi="宋体" w:cs="宋体"/>
                <w:kern w:val="0"/>
                <w:sz w:val="20"/>
                <w:szCs w:val="20"/>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23</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r>
    </w:tbl>
    <w:p>
      <w:pPr>
        <w:widowControl/>
        <w:shd w:val="clear"/>
        <w:spacing w:line="560" w:lineRule="exact"/>
        <w:ind w:firstLine="640" w:firstLineChars="200"/>
        <w:rPr>
          <w:rFonts w:hint="eastAsia" w:ascii="黑体" w:hAnsi="黑体" w:eastAsia="黑体" w:cs="黑体"/>
          <w:b w:val="0"/>
          <w:bCs w:val="0"/>
          <w:kern w:val="2"/>
          <w:sz w:val="32"/>
          <w:szCs w:val="22"/>
        </w:rPr>
      </w:pPr>
      <w:r>
        <w:rPr>
          <w:rFonts w:hint="eastAsia" w:ascii="黑体" w:hAnsi="黑体" w:eastAsia="黑体" w:cs="黑体"/>
          <w:b w:val="0"/>
          <w:bCs w:val="0"/>
          <w:kern w:val="2"/>
          <w:sz w:val="32"/>
          <w:szCs w:val="22"/>
        </w:rPr>
        <w:t>三、收到和处理政府信息公开申请情况</w:t>
      </w:r>
    </w:p>
    <w:tbl>
      <w:tblPr>
        <w:tblStyle w:val="6"/>
        <w:tblW w:w="9748" w:type="dxa"/>
        <w:jc w:val="center"/>
        <w:tblLayout w:type="autofit"/>
        <w:tblCellMar>
          <w:top w:w="0" w:type="dxa"/>
          <w:left w:w="0" w:type="dxa"/>
          <w:bottom w:w="0" w:type="dxa"/>
          <w:right w:w="0" w:type="dxa"/>
        </w:tblCellMar>
      </w:tblPr>
      <w:tblGrid>
        <w:gridCol w:w="769"/>
        <w:gridCol w:w="943"/>
        <w:gridCol w:w="3220"/>
        <w:gridCol w:w="688"/>
        <w:gridCol w:w="688"/>
        <w:gridCol w:w="688"/>
        <w:gridCol w:w="688"/>
        <w:gridCol w:w="688"/>
        <w:gridCol w:w="688"/>
        <w:gridCol w:w="688"/>
      </w:tblGrid>
      <w:tr>
        <w:tblPrEx>
          <w:tblCellMar>
            <w:top w:w="0" w:type="dxa"/>
            <w:left w:w="0" w:type="dxa"/>
            <w:bottom w:w="0" w:type="dxa"/>
            <w:right w:w="0" w:type="dxa"/>
          </w:tblCellMar>
        </w:tblPrEx>
        <w:trPr>
          <w:jc w:val="center"/>
        </w:trPr>
        <w:tc>
          <w:tcPr>
            <w:tcW w:w="4932"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kern w:val="0"/>
                <w:sz w:val="24"/>
                <w:szCs w:val="24"/>
              </w:rPr>
            </w:pPr>
            <w:r>
              <w:rPr>
                <w:rFonts w:hint="eastAsia" w:ascii="楷体" w:hAnsi="楷体" w:eastAsia="楷体" w:cs="宋体"/>
                <w:kern w:val="0"/>
                <w:sz w:val="20"/>
                <w:szCs w:val="20"/>
              </w:rPr>
              <w:t>（本列数据的勾稽关系为：第一项加第二项之和，等于第三项加第四项之和）</w:t>
            </w:r>
          </w:p>
        </w:tc>
        <w:tc>
          <w:tcPr>
            <w:tcW w:w="4816"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688"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自然人</w:t>
            </w:r>
          </w:p>
        </w:tc>
        <w:tc>
          <w:tcPr>
            <w:tcW w:w="344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法人或其他组织</w:t>
            </w:r>
          </w:p>
        </w:tc>
        <w:tc>
          <w:tcPr>
            <w:tcW w:w="688"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商业</w:t>
            </w:r>
          </w:p>
          <w:p>
            <w:pPr>
              <w:widowControl/>
              <w:spacing w:line="0" w:lineRule="atLeast"/>
              <w:jc w:val="center"/>
              <w:rPr>
                <w:rFonts w:ascii="宋体" w:hAnsi="宋体" w:cs="宋体"/>
                <w:kern w:val="0"/>
                <w:sz w:val="24"/>
                <w:szCs w:val="24"/>
              </w:rPr>
            </w:pPr>
            <w:r>
              <w:rPr>
                <w:rFonts w:hint="eastAsia" w:ascii="宋体" w:hAnsi="宋体" w:cs="宋体"/>
                <w:kern w:val="0"/>
                <w:sz w:val="20"/>
                <w:szCs w:val="20"/>
              </w:rPr>
              <w:t>企业</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科研</w:t>
            </w:r>
          </w:p>
          <w:p>
            <w:pPr>
              <w:widowControl/>
              <w:spacing w:line="0" w:lineRule="atLeast"/>
              <w:jc w:val="center"/>
              <w:rPr>
                <w:rFonts w:ascii="宋体" w:hAnsi="宋体" w:cs="宋体"/>
                <w:kern w:val="0"/>
                <w:sz w:val="24"/>
                <w:szCs w:val="24"/>
              </w:rPr>
            </w:pPr>
            <w:r>
              <w:rPr>
                <w:rFonts w:hint="eastAsia" w:ascii="宋体" w:hAnsi="宋体" w:cs="宋体"/>
                <w:kern w:val="0"/>
                <w:sz w:val="20"/>
                <w:szCs w:val="20"/>
              </w:rPr>
              <w:t>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社会公益组织</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spacing w:line="0" w:lineRule="atLeast"/>
              <w:jc w:val="center"/>
              <w:rPr>
                <w:rFonts w:ascii="宋体" w:hAnsi="宋体" w:cs="宋体"/>
                <w:kern w:val="0"/>
                <w:sz w:val="24"/>
                <w:szCs w:val="24"/>
              </w:rPr>
            </w:pPr>
            <w:r>
              <w:rPr>
                <w:rFonts w:hint="eastAsia" w:ascii="宋体" w:hAnsi="宋体" w:cs="宋体"/>
                <w:kern w:val="0"/>
                <w:sz w:val="20"/>
                <w:szCs w:val="20"/>
              </w:rPr>
              <w:t>法律服务机构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p>
        </w:tc>
        <w:tc>
          <w:tcPr>
            <w:tcW w:w="0" w:type="auto"/>
            <w:vMerge w:val="continue"/>
            <w:tcBorders>
              <w:top w:val="single"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r>
      <w:tr>
        <w:tblPrEx>
          <w:tblCellMar>
            <w:top w:w="0" w:type="dxa"/>
            <w:left w:w="0" w:type="dxa"/>
            <w:bottom w:w="0" w:type="dxa"/>
            <w:right w:w="0" w:type="dxa"/>
          </w:tblCellMar>
        </w:tblPrEx>
        <w:trPr>
          <w:jc w:val="center"/>
        </w:trPr>
        <w:tc>
          <w:tcPr>
            <w:tcW w:w="4932"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一、本年新收政府信息公开申请数量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4932"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二、上年结转政府信息公开申请数量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769"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三、本年度办理结果</w:t>
            </w: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（一）予以公开</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（二）部分公开</w:t>
            </w:r>
            <w:r>
              <w:rPr>
                <w:rFonts w:hint="eastAsia" w:ascii="楷体" w:hAnsi="楷体" w:eastAsia="楷体" w:cs="宋体"/>
                <w:kern w:val="0"/>
                <w:sz w:val="20"/>
                <w:szCs w:val="20"/>
              </w:rPr>
              <w:t>（区分处理的，只计这一情形，不计其他情形）</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（三）不予公开</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ascii="宋体" w:hAnsi="宋体" w:cs="宋体"/>
                <w:kern w:val="0"/>
                <w:sz w:val="20"/>
                <w:szCs w:val="20"/>
              </w:rPr>
              <w:t>1.</w:t>
            </w:r>
            <w:r>
              <w:rPr>
                <w:rFonts w:hint="eastAsia" w:ascii="宋体" w:hAnsi="宋体" w:cs="宋体"/>
                <w:kern w:val="0"/>
                <w:sz w:val="20"/>
                <w:szCs w:val="20"/>
              </w:rPr>
              <w:t>属于国家秘密</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ascii="宋体" w:hAnsi="宋体" w:cs="宋体"/>
                <w:kern w:val="0"/>
                <w:sz w:val="20"/>
                <w:szCs w:val="20"/>
              </w:rPr>
              <w:t>2.</w:t>
            </w:r>
            <w:r>
              <w:rPr>
                <w:rFonts w:hint="eastAsia" w:ascii="宋体" w:hAnsi="宋体" w:cs="宋体"/>
                <w:kern w:val="0"/>
                <w:sz w:val="20"/>
                <w:szCs w:val="20"/>
              </w:rPr>
              <w:t>其他法律行政法规禁止公开</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ascii="宋体" w:hAnsi="宋体" w:cs="宋体"/>
                <w:kern w:val="0"/>
                <w:sz w:val="20"/>
                <w:szCs w:val="20"/>
              </w:rPr>
              <w:t>3.</w:t>
            </w:r>
            <w:r>
              <w:rPr>
                <w:rFonts w:hint="eastAsia" w:ascii="宋体" w:hAnsi="宋体" w:cs="宋体"/>
                <w:kern w:val="0"/>
                <w:sz w:val="20"/>
                <w:szCs w:val="20"/>
              </w:rPr>
              <w:t>危及“三安全一稳定”</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ascii="宋体" w:hAnsi="宋体" w:cs="宋体"/>
                <w:kern w:val="0"/>
                <w:sz w:val="20"/>
                <w:szCs w:val="20"/>
              </w:rPr>
              <w:t>4.</w:t>
            </w:r>
            <w:r>
              <w:rPr>
                <w:rFonts w:hint="eastAsia" w:ascii="宋体" w:hAnsi="宋体" w:cs="宋体"/>
                <w:kern w:val="0"/>
                <w:sz w:val="20"/>
                <w:szCs w:val="20"/>
              </w:rPr>
              <w:t>保护第三方合法权益</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ascii="宋体" w:hAnsi="宋体" w:cs="宋体"/>
                <w:kern w:val="0"/>
                <w:sz w:val="20"/>
                <w:szCs w:val="20"/>
              </w:rPr>
              <w:t>5.</w:t>
            </w:r>
            <w:r>
              <w:rPr>
                <w:rFonts w:hint="eastAsia" w:ascii="宋体" w:hAnsi="宋体" w:cs="宋体"/>
                <w:kern w:val="0"/>
                <w:sz w:val="20"/>
                <w:szCs w:val="20"/>
              </w:rPr>
              <w:t>属于三类内部事务信息</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ascii="宋体" w:hAnsi="宋体" w:cs="宋体"/>
                <w:kern w:val="0"/>
                <w:sz w:val="20"/>
                <w:szCs w:val="20"/>
              </w:rPr>
              <w:t>6.</w:t>
            </w:r>
            <w:r>
              <w:rPr>
                <w:rFonts w:hint="eastAsia" w:ascii="宋体" w:hAnsi="宋体" w:cs="宋体"/>
                <w:kern w:val="0"/>
                <w:sz w:val="20"/>
                <w:szCs w:val="20"/>
              </w:rPr>
              <w:t>属于四类过程性信息</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ascii="宋体" w:hAnsi="宋体" w:cs="宋体"/>
                <w:kern w:val="0"/>
                <w:sz w:val="20"/>
                <w:szCs w:val="20"/>
              </w:rPr>
              <w:t>7.</w:t>
            </w:r>
            <w:r>
              <w:rPr>
                <w:rFonts w:hint="eastAsia" w:ascii="宋体" w:hAnsi="宋体" w:cs="宋体"/>
                <w:kern w:val="0"/>
                <w:sz w:val="20"/>
                <w:szCs w:val="20"/>
              </w:rPr>
              <w:t>属于行政执法案卷</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ascii="宋体" w:hAnsi="宋体" w:cs="宋体"/>
                <w:kern w:val="0"/>
                <w:sz w:val="20"/>
                <w:szCs w:val="20"/>
              </w:rPr>
              <w:t>8.</w:t>
            </w:r>
            <w:r>
              <w:rPr>
                <w:rFonts w:hint="eastAsia" w:ascii="宋体" w:hAnsi="宋体" w:cs="宋体"/>
                <w:kern w:val="0"/>
                <w:sz w:val="20"/>
                <w:szCs w:val="20"/>
              </w:rPr>
              <w:t>属于行政查询事项</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（四）无法提供</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ascii="宋体" w:hAnsi="宋体" w:cs="宋体"/>
                <w:kern w:val="0"/>
                <w:sz w:val="20"/>
                <w:szCs w:val="20"/>
              </w:rPr>
              <w:t>1.</w:t>
            </w:r>
            <w:r>
              <w:rPr>
                <w:rFonts w:hint="eastAsia" w:ascii="宋体" w:hAnsi="宋体" w:cs="宋体"/>
                <w:kern w:val="0"/>
                <w:sz w:val="20"/>
                <w:szCs w:val="20"/>
              </w:rPr>
              <w:t>本机关不掌握相关政府信息</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ascii="宋体" w:hAnsi="宋体" w:cs="宋体"/>
                <w:kern w:val="0"/>
                <w:sz w:val="20"/>
                <w:szCs w:val="20"/>
              </w:rPr>
              <w:t>2.</w:t>
            </w:r>
            <w:r>
              <w:rPr>
                <w:rFonts w:hint="eastAsia" w:ascii="宋体" w:hAnsi="宋体" w:cs="宋体"/>
                <w:kern w:val="0"/>
                <w:sz w:val="20"/>
                <w:szCs w:val="20"/>
              </w:rPr>
              <w:t>没有现成信息需要另行制作</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ascii="宋体" w:hAnsi="宋体" w:cs="宋体"/>
                <w:kern w:val="0"/>
                <w:sz w:val="20"/>
                <w:szCs w:val="20"/>
              </w:rPr>
              <w:t>3.</w:t>
            </w:r>
            <w:r>
              <w:rPr>
                <w:rFonts w:hint="eastAsia" w:ascii="宋体" w:hAnsi="宋体" w:cs="宋体"/>
                <w:kern w:val="0"/>
                <w:sz w:val="20"/>
                <w:szCs w:val="20"/>
              </w:rPr>
              <w:t>补正后申请内容仍不明确</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（五）不予处理</w:t>
            </w: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ascii="宋体" w:hAnsi="宋体" w:cs="宋体"/>
                <w:kern w:val="0"/>
                <w:sz w:val="20"/>
                <w:szCs w:val="20"/>
              </w:rPr>
              <w:t>1.</w:t>
            </w:r>
            <w:r>
              <w:rPr>
                <w:rFonts w:hint="eastAsia" w:ascii="宋体" w:hAnsi="宋体" w:cs="宋体"/>
                <w:kern w:val="0"/>
                <w:sz w:val="20"/>
                <w:szCs w:val="20"/>
              </w:rPr>
              <w:t>信访举报投诉类申请</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ascii="宋体" w:hAnsi="宋体" w:cs="宋体"/>
                <w:kern w:val="0"/>
                <w:sz w:val="20"/>
                <w:szCs w:val="20"/>
              </w:rPr>
              <w:t>2.</w:t>
            </w:r>
            <w:r>
              <w:rPr>
                <w:rFonts w:hint="eastAsia" w:ascii="宋体" w:hAnsi="宋体" w:cs="宋体"/>
                <w:kern w:val="0"/>
                <w:sz w:val="20"/>
                <w:szCs w:val="20"/>
              </w:rPr>
              <w:t>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ascii="宋体" w:hAnsi="宋体" w:cs="宋体"/>
                <w:kern w:val="0"/>
                <w:sz w:val="20"/>
                <w:szCs w:val="20"/>
              </w:rPr>
              <w:t>3.</w:t>
            </w:r>
            <w:r>
              <w:rPr>
                <w:rFonts w:hint="eastAsia" w:ascii="宋体" w:hAnsi="宋体" w:cs="宋体"/>
                <w:kern w:val="0"/>
                <w:sz w:val="20"/>
                <w:szCs w:val="20"/>
              </w:rPr>
              <w:t>要求提供公开出版物</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rPr>
          <w:wBefore w:w="0" w:type="auto"/>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tcPr>
          <w:p>
            <w:pPr>
              <w:widowControl/>
              <w:jc w:val="left"/>
              <w:rPr>
                <w:rFonts w:ascii="宋体" w:hAnsi="宋体" w:cs="宋体"/>
                <w:kern w:val="0"/>
                <w:sz w:val="24"/>
                <w:szCs w:val="24"/>
              </w:rPr>
            </w:pPr>
            <w:r>
              <w:rPr>
                <w:rFonts w:ascii="宋体" w:hAnsi="宋体" w:cs="宋体"/>
                <w:kern w:val="0"/>
                <w:sz w:val="20"/>
                <w:szCs w:val="20"/>
              </w:rPr>
              <w:t>4.</w:t>
            </w:r>
            <w:r>
              <w:rPr>
                <w:rFonts w:hint="eastAsia" w:ascii="宋体" w:hAnsi="宋体" w:cs="宋体"/>
                <w:kern w:val="0"/>
                <w:sz w:val="20"/>
                <w:szCs w:val="20"/>
              </w:rPr>
              <w:t>无正当理由大量反复申请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wBefore w:w="0" w:type="auto"/>
          <w:trHeight w:val="779" w:hRule="atLeast"/>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rPr>
                <w:rFonts w:ascii="宋体" w:hAnsi="宋体" w:cs="宋体"/>
                <w:kern w:val="0"/>
                <w:sz w:val="24"/>
                <w:szCs w:val="24"/>
              </w:rPr>
            </w:pPr>
            <w:r>
              <w:rPr>
                <w:rFonts w:ascii="宋体" w:hAnsi="宋体" w:cs="宋体"/>
                <w:kern w:val="0"/>
                <w:sz w:val="20"/>
                <w:szCs w:val="20"/>
              </w:rPr>
              <w:t>5.</w:t>
            </w:r>
            <w:r>
              <w:rPr>
                <w:rFonts w:hint="eastAsia" w:ascii="宋体" w:hAnsi="宋体" w:cs="宋体"/>
                <w:kern w:val="0"/>
                <w:sz w:val="20"/>
                <w:szCs w:val="20"/>
              </w:rPr>
              <w:t>要求行政机关确认或重新出具已获取信息</w:t>
            </w:r>
          </w:p>
        </w:tc>
        <w:tc>
          <w:tcPr>
            <w:tcW w:w="688"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inset"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943"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（六）其他处理</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cs="宋体"/>
                <w:kern w:val="0"/>
                <w:sz w:val="24"/>
                <w:szCs w:val="24"/>
              </w:rPr>
            </w:pPr>
            <w:r>
              <w:rPr>
                <w:rFonts w:ascii="宋体" w:hAnsi="宋体" w:cs="宋体"/>
                <w:kern w:val="0"/>
                <w:sz w:val="20"/>
                <w:szCs w:val="20"/>
              </w:rPr>
              <w:t>1.</w:t>
            </w:r>
            <w:r>
              <w:rPr>
                <w:rFonts w:hint="eastAsia" w:ascii="宋体" w:hAnsi="宋体" w:cs="宋体"/>
                <w:kern w:val="0"/>
                <w:sz w:val="20"/>
                <w:szCs w:val="20"/>
              </w:rPr>
              <w:t>申请人无正当理由逾期不补正、行政机关不再处理其政府信息公开申请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ascii="宋体" w:hAnsi="宋体" w:cs="宋体"/>
                <w:kern w:val="0"/>
                <w:sz w:val="24"/>
                <w:szCs w:val="24"/>
              </w:rPr>
            </w:pPr>
            <w:r>
              <w:rPr>
                <w:rFonts w:ascii="宋体" w:hAnsi="宋体" w:cs="宋体"/>
                <w:kern w:val="0"/>
                <w:sz w:val="20"/>
                <w:szCs w:val="20"/>
              </w:rPr>
              <w:t>2.</w:t>
            </w:r>
            <w:r>
              <w:rPr>
                <w:rFonts w:hint="eastAsia" w:ascii="宋体" w:hAnsi="宋体" w:cs="宋体"/>
                <w:kern w:val="0"/>
                <w:sz w:val="20"/>
                <w:szCs w:val="20"/>
              </w:rPr>
              <w:t>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inset" w:color="auto" w:sz="8" w:space="0"/>
              <w:left w:val="nil"/>
              <w:bottom w:val="inset" w:color="auto" w:sz="8" w:space="0"/>
              <w:right w:val="single" w:color="auto" w:sz="8" w:space="0"/>
            </w:tcBorders>
            <w:vAlign w:val="center"/>
          </w:tcPr>
          <w:p>
            <w:pPr>
              <w:widowControl/>
              <w:jc w:val="left"/>
              <w:rPr>
                <w:rFonts w:ascii="宋体" w:hAnsi="宋体" w:cs="宋体"/>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ascii="宋体" w:hAnsi="宋体" w:cs="宋体"/>
                <w:kern w:val="0"/>
                <w:sz w:val="20"/>
                <w:szCs w:val="20"/>
              </w:rPr>
              <w:t>3.</w:t>
            </w:r>
            <w:r>
              <w:rPr>
                <w:rFonts w:hint="eastAsia" w:ascii="宋体" w:hAnsi="宋体" w:cs="宋体"/>
                <w:kern w:val="0"/>
                <w:sz w:val="20"/>
                <w:szCs w:val="20"/>
              </w:rPr>
              <w:t>其他</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vAlign w:val="center"/>
          </w:tcPr>
          <w:p>
            <w:pPr>
              <w:widowControl/>
              <w:jc w:val="left"/>
              <w:rPr>
                <w:rFonts w:ascii="宋体" w:hAnsi="宋体" w:cs="宋体"/>
                <w:kern w:val="0"/>
                <w:sz w:val="24"/>
                <w:szCs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（七）总计</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jc w:val="center"/>
              <w:rPr>
                <w:rFonts w:ascii="宋体" w:hAnsi="宋体" w:cs="宋体"/>
                <w:kern w:val="0"/>
                <w:sz w:val="24"/>
                <w:szCs w:val="24"/>
              </w:rPr>
            </w:pPr>
          </w:p>
        </w:tc>
      </w:tr>
      <w:tr>
        <w:tblPrEx>
          <w:tblCellMar>
            <w:top w:w="0" w:type="dxa"/>
            <w:left w:w="0" w:type="dxa"/>
            <w:bottom w:w="0" w:type="dxa"/>
            <w:right w:w="0" w:type="dxa"/>
          </w:tblCellMar>
        </w:tblPrEx>
        <w:trPr>
          <w:jc w:val="center"/>
        </w:trPr>
        <w:tc>
          <w:tcPr>
            <w:tcW w:w="4932"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ascii="宋体" w:hAnsi="宋体" w:cs="宋体"/>
                <w:kern w:val="0"/>
                <w:sz w:val="24"/>
                <w:szCs w:val="24"/>
              </w:rPr>
            </w:pPr>
            <w:r>
              <w:rPr>
                <w:rFonts w:hint="eastAsia" w:ascii="宋体" w:hAnsi="宋体" w:cs="宋体"/>
                <w:kern w:val="0"/>
                <w:sz w:val="20"/>
                <w:szCs w:val="20"/>
              </w:rPr>
              <w:t>四、结转下年度继续办理</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ascii="宋体" w:hAnsi="宋体" w:cs="宋体"/>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tcPr>
          <w:p>
            <w:pPr>
              <w:widowControl/>
              <w:ind w:firstLine="240" w:firstLineChars="100"/>
              <w:jc w:val="left"/>
              <w:rPr>
                <w:rFonts w:ascii="宋体" w:hAnsi="宋体" w:cs="宋体"/>
                <w:kern w:val="0"/>
                <w:sz w:val="24"/>
                <w:szCs w:val="24"/>
              </w:rPr>
            </w:pPr>
          </w:p>
        </w:tc>
      </w:tr>
    </w:tbl>
    <w:p>
      <w:pPr>
        <w:widowControl/>
        <w:shd w:val="clear"/>
        <w:spacing w:line="560" w:lineRule="exact"/>
        <w:ind w:firstLine="640" w:firstLineChars="200"/>
        <w:rPr>
          <w:rFonts w:hint="eastAsia" w:ascii="黑体" w:hAnsi="黑体" w:eastAsia="黑体" w:cs="黑体"/>
          <w:b w:val="0"/>
          <w:bCs w:val="0"/>
          <w:kern w:val="2"/>
          <w:sz w:val="32"/>
          <w:szCs w:val="22"/>
        </w:rPr>
      </w:pPr>
      <w:r>
        <w:rPr>
          <w:rFonts w:hint="eastAsia" w:ascii="黑体" w:hAnsi="黑体" w:eastAsia="黑体" w:cs="黑体"/>
          <w:b w:val="0"/>
          <w:bCs w:val="0"/>
          <w:kern w:val="2"/>
          <w:sz w:val="32"/>
          <w:szCs w:val="22"/>
        </w:rPr>
        <w:t>四、政府信息公开行政复议、行政诉讼情况</w:t>
      </w:r>
    </w:p>
    <w:tbl>
      <w:tblPr>
        <w:tblStyle w:val="6"/>
        <w:tblW w:w="9748" w:type="dxa"/>
        <w:jc w:val="center"/>
        <w:tblLayout w:type="autofit"/>
        <w:tblCellMar>
          <w:top w:w="0" w:type="dxa"/>
          <w:left w:w="0" w:type="dxa"/>
          <w:bottom w:w="0" w:type="dxa"/>
          <w:right w:w="0" w:type="dxa"/>
        </w:tblCellMar>
      </w:tblPr>
      <w:tblGrid>
        <w:gridCol w:w="650"/>
        <w:gridCol w:w="650"/>
        <w:gridCol w:w="650"/>
        <w:gridCol w:w="650"/>
        <w:gridCol w:w="650"/>
        <w:gridCol w:w="649"/>
        <w:gridCol w:w="649"/>
        <w:gridCol w:w="650"/>
        <w:gridCol w:w="650"/>
        <w:gridCol w:w="650"/>
        <w:gridCol w:w="650"/>
        <w:gridCol w:w="650"/>
        <w:gridCol w:w="650"/>
        <w:gridCol w:w="650"/>
        <w:gridCol w:w="650"/>
      </w:tblGrid>
      <w:tr>
        <w:tblPrEx>
          <w:tblCellMar>
            <w:top w:w="0" w:type="dxa"/>
            <w:left w:w="0" w:type="dxa"/>
            <w:bottom w:w="0" w:type="dxa"/>
            <w:right w:w="0" w:type="dxa"/>
          </w:tblCellMar>
        </w:tblPrEx>
        <w:trPr>
          <w:jc w:val="center"/>
        </w:trPr>
        <w:tc>
          <w:tcPr>
            <w:tcW w:w="325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行政复议</w:t>
            </w:r>
          </w:p>
        </w:tc>
        <w:tc>
          <w:tcPr>
            <w:tcW w:w="6498"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行政诉讼</w:t>
            </w:r>
          </w:p>
        </w:tc>
      </w:tr>
      <w:tr>
        <w:tblPrEx>
          <w:tblCellMar>
            <w:top w:w="0" w:type="dxa"/>
            <w:left w:w="0" w:type="dxa"/>
            <w:bottom w:w="0" w:type="dxa"/>
            <w:right w:w="0" w:type="dxa"/>
          </w:tblCellMar>
        </w:tblPrEx>
        <w:trPr>
          <w:jc w:val="center"/>
        </w:trPr>
        <w:tc>
          <w:tcPr>
            <w:tcW w:w="65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结果维持</w:t>
            </w:r>
          </w:p>
        </w:tc>
        <w:tc>
          <w:tcPr>
            <w:tcW w:w="65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ascii="宋体" w:hAnsi="宋体" w:cs="宋体"/>
                <w:kern w:val="0"/>
                <w:sz w:val="20"/>
                <w:szCs w:val="20"/>
              </w:rPr>
              <w:br w:type="textWrapping"/>
            </w:r>
            <w:r>
              <w:rPr>
                <w:rFonts w:hint="eastAsia" w:ascii="宋体" w:hAnsi="宋体" w:cs="宋体"/>
                <w:kern w:val="0"/>
                <w:sz w:val="20"/>
                <w:szCs w:val="20"/>
              </w:rPr>
              <w:t>纠正</w:t>
            </w:r>
          </w:p>
        </w:tc>
        <w:tc>
          <w:tcPr>
            <w:tcW w:w="65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r>
              <w:rPr>
                <w:rFonts w:ascii="宋体" w:hAnsi="宋体" w:cs="宋体"/>
                <w:kern w:val="0"/>
                <w:sz w:val="20"/>
                <w:szCs w:val="20"/>
              </w:rPr>
              <w:br w:type="textWrapping"/>
            </w:r>
            <w:r>
              <w:rPr>
                <w:rFonts w:hint="eastAsia" w:ascii="宋体" w:hAnsi="宋体" w:cs="宋体"/>
                <w:kern w:val="0"/>
                <w:sz w:val="20"/>
                <w:szCs w:val="20"/>
              </w:rPr>
              <w:t>结果</w:t>
            </w:r>
          </w:p>
        </w:tc>
        <w:tc>
          <w:tcPr>
            <w:tcW w:w="65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尚未</w:t>
            </w:r>
            <w:r>
              <w:rPr>
                <w:rFonts w:ascii="宋体" w:hAnsi="宋体" w:cs="宋体"/>
                <w:kern w:val="0"/>
                <w:sz w:val="20"/>
                <w:szCs w:val="20"/>
              </w:rPr>
              <w:br w:type="textWrapping"/>
            </w:r>
            <w:r>
              <w:rPr>
                <w:rFonts w:hint="eastAsia" w:ascii="宋体" w:hAnsi="宋体" w:cs="宋体"/>
                <w:kern w:val="0"/>
                <w:sz w:val="20"/>
                <w:szCs w:val="20"/>
              </w:rPr>
              <w:t>审结</w:t>
            </w:r>
          </w:p>
        </w:tc>
        <w:tc>
          <w:tcPr>
            <w:tcW w:w="650"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c>
          <w:tcPr>
            <w:tcW w:w="3248"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未经复议直接起诉</w:t>
            </w:r>
          </w:p>
        </w:tc>
        <w:tc>
          <w:tcPr>
            <w:tcW w:w="3250"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0" w:type="auto"/>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kern w:val="0"/>
                <w:sz w:val="24"/>
                <w:szCs w:val="24"/>
              </w:rPr>
            </w:pP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ascii="宋体" w:hAnsi="宋体" w:cs="宋体"/>
                <w:kern w:val="0"/>
                <w:sz w:val="20"/>
                <w:szCs w:val="20"/>
              </w:rPr>
              <w:br w:type="textWrapping"/>
            </w:r>
            <w:r>
              <w:rPr>
                <w:rFonts w:hint="eastAsia" w:ascii="宋体" w:hAnsi="宋体" w:cs="宋体"/>
                <w:kern w:val="0"/>
                <w:sz w:val="20"/>
                <w:szCs w:val="20"/>
              </w:rPr>
              <w:t>维持</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ascii="宋体" w:hAnsi="宋体" w:cs="宋体"/>
                <w:kern w:val="0"/>
                <w:sz w:val="20"/>
                <w:szCs w:val="20"/>
              </w:rPr>
              <w:br w:type="textWrapping"/>
            </w:r>
            <w:r>
              <w:rPr>
                <w:rFonts w:hint="eastAsia" w:ascii="宋体" w:hAnsi="宋体" w:cs="宋体"/>
                <w:kern w:val="0"/>
                <w:sz w:val="20"/>
                <w:szCs w:val="20"/>
              </w:rPr>
              <w:t>纠正</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r>
              <w:rPr>
                <w:rFonts w:ascii="宋体" w:hAnsi="宋体" w:cs="宋体"/>
                <w:kern w:val="0"/>
                <w:sz w:val="20"/>
                <w:szCs w:val="20"/>
              </w:rPr>
              <w:br w:type="textWrapping"/>
            </w:r>
            <w:r>
              <w:rPr>
                <w:rFonts w:hint="eastAsia" w:ascii="宋体" w:hAnsi="宋体" w:cs="宋体"/>
                <w:kern w:val="0"/>
                <w:sz w:val="20"/>
                <w:szCs w:val="20"/>
              </w:rPr>
              <w:t>结果</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尚未</w:t>
            </w:r>
            <w:r>
              <w:rPr>
                <w:rFonts w:ascii="宋体" w:hAnsi="宋体" w:cs="宋体"/>
                <w:kern w:val="0"/>
                <w:sz w:val="20"/>
                <w:szCs w:val="20"/>
              </w:rPr>
              <w:br w:type="textWrapping"/>
            </w:r>
            <w:r>
              <w:rPr>
                <w:rFonts w:hint="eastAsia" w:ascii="宋体" w:hAnsi="宋体" w:cs="宋体"/>
                <w:kern w:val="0"/>
                <w:sz w:val="20"/>
                <w:szCs w:val="20"/>
              </w:rPr>
              <w:t>审结</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ascii="宋体" w:hAnsi="宋体" w:cs="宋体"/>
                <w:kern w:val="0"/>
                <w:sz w:val="20"/>
                <w:szCs w:val="20"/>
              </w:rPr>
              <w:br w:type="textWrapping"/>
            </w:r>
            <w:r>
              <w:rPr>
                <w:rFonts w:hint="eastAsia" w:ascii="宋体" w:hAnsi="宋体" w:cs="宋体"/>
                <w:kern w:val="0"/>
                <w:sz w:val="20"/>
                <w:szCs w:val="20"/>
              </w:rPr>
              <w:t>维持</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结果</w:t>
            </w:r>
            <w:r>
              <w:rPr>
                <w:rFonts w:ascii="宋体" w:hAnsi="宋体" w:cs="宋体"/>
                <w:kern w:val="0"/>
                <w:sz w:val="20"/>
                <w:szCs w:val="20"/>
              </w:rPr>
              <w:br w:type="textWrapping"/>
            </w:r>
            <w:r>
              <w:rPr>
                <w:rFonts w:hint="eastAsia" w:ascii="宋体" w:hAnsi="宋体" w:cs="宋体"/>
                <w:kern w:val="0"/>
                <w:sz w:val="20"/>
                <w:szCs w:val="20"/>
              </w:rPr>
              <w:t>纠正</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其他</w:t>
            </w:r>
            <w:r>
              <w:rPr>
                <w:rFonts w:ascii="宋体" w:hAnsi="宋体" w:cs="宋体"/>
                <w:kern w:val="0"/>
                <w:sz w:val="20"/>
                <w:szCs w:val="20"/>
              </w:rPr>
              <w:br w:type="textWrapping"/>
            </w:r>
            <w:r>
              <w:rPr>
                <w:rFonts w:hint="eastAsia" w:ascii="宋体" w:hAnsi="宋体" w:cs="宋体"/>
                <w:kern w:val="0"/>
                <w:sz w:val="20"/>
                <w:szCs w:val="20"/>
              </w:rPr>
              <w:t>结果</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尚未</w:t>
            </w:r>
            <w:r>
              <w:rPr>
                <w:rFonts w:ascii="宋体" w:hAnsi="宋体" w:cs="宋体"/>
                <w:kern w:val="0"/>
                <w:sz w:val="20"/>
                <w:szCs w:val="20"/>
              </w:rPr>
              <w:br w:type="textWrapping"/>
            </w:r>
            <w:r>
              <w:rPr>
                <w:rFonts w:hint="eastAsia" w:ascii="宋体" w:hAnsi="宋体" w:cs="宋体"/>
                <w:kern w:val="0"/>
                <w:sz w:val="20"/>
                <w:szCs w:val="20"/>
              </w:rPr>
              <w:t>审结</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r>
              <w:rPr>
                <w:rFonts w:hint="eastAsia" w:ascii="宋体" w:hAnsi="宋体" w:cs="宋体"/>
                <w:kern w:val="0"/>
                <w:sz w:val="20"/>
                <w:szCs w:val="20"/>
              </w:rPr>
              <w:t>总计</w:t>
            </w:r>
          </w:p>
        </w:tc>
      </w:tr>
      <w:tr>
        <w:tblPrEx>
          <w:tblCellMar>
            <w:top w:w="0" w:type="dxa"/>
            <w:left w:w="0" w:type="dxa"/>
            <w:bottom w:w="0" w:type="dxa"/>
            <w:right w:w="0" w:type="dxa"/>
          </w:tblCellMar>
        </w:tblPrEx>
        <w:trPr>
          <w:trHeight w:val="672" w:hRule="atLeast"/>
          <w:jc w:val="center"/>
        </w:trPr>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4"/>
                <w:szCs w:val="24"/>
              </w:rPr>
            </w:pP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kern w:val="0"/>
                <w:sz w:val="24"/>
                <w:szCs w:val="24"/>
              </w:rPr>
            </w:pPr>
          </w:p>
        </w:tc>
      </w:tr>
    </w:tbl>
    <w:p>
      <w:pPr>
        <w:widowControl/>
        <w:shd w:val="clear" w:color="auto" w:fill="auto"/>
        <w:spacing w:line="560" w:lineRule="exact"/>
        <w:ind w:firstLine="640" w:firstLineChars="200"/>
        <w:rPr>
          <w:rFonts w:hint="eastAsia" w:ascii="黑体" w:hAnsi="黑体" w:eastAsia="黑体" w:cs="黑体"/>
          <w:color w:val="000000"/>
          <w:kern w:val="0"/>
          <w:sz w:val="32"/>
          <w:szCs w:val="32"/>
        </w:rPr>
      </w:pPr>
      <w:r>
        <w:rPr>
          <w:rFonts w:hint="eastAsia" w:ascii="黑体" w:hAnsi="黑体" w:eastAsia="黑体" w:cs="黑体"/>
          <w:b w:val="0"/>
          <w:bCs w:val="0"/>
          <w:color w:val="000000"/>
          <w:kern w:val="0"/>
          <w:sz w:val="32"/>
          <w:szCs w:val="32"/>
        </w:rPr>
        <w:t>五、存在的主要问题及改进情况</w:t>
      </w:r>
    </w:p>
    <w:p>
      <w:pPr>
        <w:spacing w:line="56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平凉市气象局在政府信息公开工作中还存在一些问题，主要表现在：部分工作人员的政府信息公开意识有待进一步加强；网站栏目各个部分的更新和网站维护等方面还需要进一步改进和加强。下一步，平凉局将采取有力措施，深入推进政务信息公开工作。</w:t>
      </w:r>
    </w:p>
    <w:p>
      <w:pPr>
        <w:spacing w:line="56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一是继续严格执行政府信息公开工作的法律法规和各项规章制度，强化目标责任和监督检查，使政府信息公开工作真正落到实处。</w:t>
      </w:r>
    </w:p>
    <w:p>
      <w:pPr>
        <w:spacing w:line="56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是进一步提高信息公开意识。加强气象工作人员信息公开工作主动性，开展政府信息公开专题培训，不断提高政务信息工作人员的综合素质，提升政府信息公开水平，积极回应社会关切和社会热点问题，及时发布政府信息。</w:t>
      </w:r>
    </w:p>
    <w:p>
      <w:pPr>
        <w:spacing w:line="56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三是丰富公开形式，细化公开内容。进一步提升门户网站，微博微信等公开渠道的服务功能，加强更新和维护</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不断丰富政府信息公开的形式、内容，以便社会公众更好</w:t>
      </w:r>
      <w:r>
        <w:rPr>
          <w:rFonts w:hint="eastAsia" w:ascii="仿宋_GB2312" w:hAnsi="仿宋_GB2312" w:eastAsia="仿宋_GB2312" w:cs="仿宋_GB2312"/>
          <w:color w:val="000000"/>
          <w:kern w:val="0"/>
          <w:sz w:val="32"/>
          <w:szCs w:val="32"/>
          <w:lang w:eastAsia="zh-CN"/>
        </w:rPr>
        <w:t>地</w:t>
      </w:r>
      <w:r>
        <w:rPr>
          <w:rFonts w:hint="eastAsia" w:ascii="仿宋_GB2312" w:hAnsi="仿宋_GB2312" w:eastAsia="仿宋_GB2312" w:cs="仿宋_GB2312"/>
          <w:color w:val="000000"/>
          <w:kern w:val="0"/>
          <w:sz w:val="32"/>
          <w:szCs w:val="32"/>
        </w:rPr>
        <w:t>获取政府信息。</w:t>
      </w:r>
    </w:p>
    <w:p>
      <w:pPr>
        <w:widowControl/>
        <w:shd w:val="clear" w:color="auto" w:fill="auto"/>
        <w:spacing w:line="560" w:lineRule="exact"/>
        <w:ind w:firstLine="640" w:firstLineChars="200"/>
        <w:rPr>
          <w:rFonts w:hint="eastAsia" w:ascii="黑体" w:hAnsi="黑体" w:eastAsia="黑体" w:cs="黑体"/>
          <w:color w:val="000000"/>
          <w:kern w:val="0"/>
          <w:sz w:val="32"/>
          <w:szCs w:val="32"/>
        </w:rPr>
      </w:pPr>
      <w:r>
        <w:rPr>
          <w:rFonts w:hint="eastAsia" w:ascii="黑体" w:hAnsi="黑体" w:eastAsia="黑体" w:cs="黑体"/>
          <w:b w:val="0"/>
          <w:bCs w:val="0"/>
          <w:color w:val="000000"/>
          <w:kern w:val="0"/>
          <w:sz w:val="32"/>
          <w:szCs w:val="32"/>
        </w:rPr>
        <w:t>六、其他需要报告的事项</w:t>
      </w:r>
    </w:p>
    <w:p>
      <w:pPr>
        <w:spacing w:line="560" w:lineRule="exact"/>
        <w:ind w:firstLine="640" w:firstLineChars="200"/>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本年度无其他需要报告的事项。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1686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316865" cy="1397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4</w:t>
                          </w:r>
                          <w:r>
                            <w:fldChar w:fldCharType="end"/>
                          </w:r>
                          <w:r>
                            <w:t xml:space="preserve"> —</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24.95pt;mso-position-horizontal:center;mso-position-horizontal-relative:margin;mso-wrap-style:none;z-index:251659264;mso-width-relative:page;mso-height-relative:page;" filled="f" stroked="f" coordsize="21600,21600" o:gfxdata="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WAAAAZHJzL1BLAQIUABQAAAAIAIdO4kDmiNA+0QAAAAMBAAAP&#10;AAAAAAAAAAEAIAAAADgAAABkcnMvZG93bnJldi54bWxQSwECFAAUAAAACACHTuJAvHZScgkCAAAC&#10;BAAADgAAAAAAAAABACAAAAA2AQAAZHJzL2Uyb0RvYy54bWxQSwUGAAAAAAYABgBZAQAAsQU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4</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wM2Q4YTNkYjU0ZDc3NTE1MDFjNWE1MzNlMjFlNWIifQ=="/>
  </w:docVars>
  <w:rsids>
    <w:rsidRoot w:val="001F3D42"/>
    <w:rsid w:val="00010086"/>
    <w:rsid w:val="000248FC"/>
    <w:rsid w:val="0003749C"/>
    <w:rsid w:val="00050CDF"/>
    <w:rsid w:val="00057B3D"/>
    <w:rsid w:val="000B23F2"/>
    <w:rsid w:val="0010087D"/>
    <w:rsid w:val="001B6E12"/>
    <w:rsid w:val="001F3D42"/>
    <w:rsid w:val="00290C3D"/>
    <w:rsid w:val="00293B28"/>
    <w:rsid w:val="002C0E66"/>
    <w:rsid w:val="002C6D89"/>
    <w:rsid w:val="00333092"/>
    <w:rsid w:val="003431BB"/>
    <w:rsid w:val="003442FC"/>
    <w:rsid w:val="00350497"/>
    <w:rsid w:val="00432A1C"/>
    <w:rsid w:val="0045259D"/>
    <w:rsid w:val="004D63EA"/>
    <w:rsid w:val="005568E2"/>
    <w:rsid w:val="00573022"/>
    <w:rsid w:val="00653582"/>
    <w:rsid w:val="0065482D"/>
    <w:rsid w:val="006A003B"/>
    <w:rsid w:val="006F4D28"/>
    <w:rsid w:val="00721E33"/>
    <w:rsid w:val="00723361"/>
    <w:rsid w:val="007317C9"/>
    <w:rsid w:val="00761DA8"/>
    <w:rsid w:val="007634B7"/>
    <w:rsid w:val="007B2ADF"/>
    <w:rsid w:val="008E10C1"/>
    <w:rsid w:val="00967007"/>
    <w:rsid w:val="009A6044"/>
    <w:rsid w:val="00B0357F"/>
    <w:rsid w:val="00B613A9"/>
    <w:rsid w:val="00BD2B43"/>
    <w:rsid w:val="00C03E0F"/>
    <w:rsid w:val="00C33AA2"/>
    <w:rsid w:val="00D17349"/>
    <w:rsid w:val="00DB43CE"/>
    <w:rsid w:val="00DB6987"/>
    <w:rsid w:val="00E66FB4"/>
    <w:rsid w:val="00E73526"/>
    <w:rsid w:val="00E92B39"/>
    <w:rsid w:val="00F0176D"/>
    <w:rsid w:val="00F058A3"/>
    <w:rsid w:val="00F64009"/>
    <w:rsid w:val="01CD2FD0"/>
    <w:rsid w:val="0822060B"/>
    <w:rsid w:val="133611AA"/>
    <w:rsid w:val="1DF37276"/>
    <w:rsid w:val="27B06690"/>
    <w:rsid w:val="39DB3A85"/>
    <w:rsid w:val="4315691A"/>
    <w:rsid w:val="5B6F765C"/>
    <w:rsid w:val="6E9D190A"/>
    <w:rsid w:val="73BE47DE"/>
    <w:rsid w:val="FEEFF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unhideWhenUsed/>
    <w:qFormat/>
    <w:uiPriority w:val="99"/>
    <w:pPr>
      <w:tabs>
        <w:tab w:val="center" w:pos="4153"/>
        <w:tab w:val="right" w:pos="8306"/>
      </w:tabs>
      <w:snapToGrid w:val="0"/>
      <w:jc w:val="left"/>
    </w:pPr>
    <w:rPr>
      <w:sz w:val="18"/>
    </w:rPr>
  </w:style>
  <w:style w:type="paragraph" w:styleId="4">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批注框文本 Char"/>
    <w:link w:val="2"/>
    <w:semiHidden/>
    <w:qFormat/>
    <w:uiPriority w:val="99"/>
    <w:rPr>
      <w:kern w:val="2"/>
      <w:sz w:val="18"/>
      <w:szCs w:val="18"/>
    </w:rPr>
  </w:style>
  <w:style w:type="paragraph" w:styleId="9">
    <w:name w:val="List Paragraph"/>
    <w:basedOn w:val="1"/>
    <w:qFormat/>
    <w:uiPriority w:val="34"/>
    <w:pPr>
      <w:widowControl/>
      <w:ind w:firstLine="420" w:firstLineChars="200"/>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Pages>
  <Words>1053</Words>
  <Characters>1094</Characters>
  <Lines>13</Lines>
  <Paragraphs>3</Paragraphs>
  <TotalTime>0</TotalTime>
  <ScaleCrop>false</ScaleCrop>
  <LinksUpToDate>false</LinksUpToDate>
  <CharactersWithSpaces>1094</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2023-02-16T11:56:00Z</dcterms:created>
  <dc:creator>李小平</dc:creator>
  <cp:lastModifiedBy>康景芬</cp:lastModifiedBy>
  <dcterms:modified xsi:type="dcterms:W3CDTF">2025-01-16T14:32:59Z</dcterms:modified>
  <dc:title>国务院办公厅政府信息与政务公开办公室</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89D7F57B9240492E8069A8FE9E321732_13</vt:lpwstr>
  </property>
  <property fmtid="{D5CDD505-2E9C-101B-9397-08002B2CF9AE}" pid="4" name="KSOTemplateDocerSaveRecord">
    <vt:lpwstr>eyJoZGlkIjoiMGE1NTVlZWI3ZTc2MmQ0NTY3MmRlYWU5YjNlZDYxMjIiLCJ1c2VySWQiOiIyNzY3Mjg2MSJ9</vt:lpwstr>
  </property>
</Properties>
</file>