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甘肃省武威市气象局</w:t>
      </w:r>
    </w:p>
    <w:p>
      <w:pPr>
        <w:jc w:val="center"/>
        <w:rPr>
          <w:rFonts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4</w:t>
      </w:r>
      <w:r>
        <w:rPr>
          <w:rFonts w:hint="eastAsia" w:ascii="方正小标宋简体" w:eastAsia="方正小标宋简体"/>
          <w:sz w:val="44"/>
          <w:szCs w:val="44"/>
        </w:rPr>
        <w:t>年政府信息公开工作年度报告</w:t>
      </w:r>
    </w:p>
    <w:p>
      <w:pPr>
        <w:jc w:val="center"/>
        <w:rPr>
          <w:rFonts w:ascii="方正小标宋简体" w:eastAsia="方正小标宋简体"/>
          <w:sz w:val="44"/>
          <w:szCs w:val="44"/>
        </w:rPr>
      </w:pPr>
    </w:p>
    <w:p>
      <w:pPr>
        <w:spacing w:line="580" w:lineRule="exact"/>
        <w:ind w:firstLine="640" w:firstLineChars="200"/>
        <w:rPr>
          <w:rFonts w:ascii="黑体" w:hAnsi="黑体" w:eastAsia="黑体"/>
          <w:sz w:val="32"/>
          <w:szCs w:val="32"/>
        </w:rPr>
      </w:pPr>
      <w:r>
        <w:rPr>
          <w:rFonts w:hint="eastAsia" w:ascii="黑体" w:hAnsi="黑体" w:eastAsia="黑体"/>
          <w:sz w:val="32"/>
          <w:szCs w:val="32"/>
        </w:rPr>
        <w:t>一、总体情况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年，武威市气象局以习近平新时代中国特色社会主义思想和党的二十大精神为指导，深入贯彻落实《中华人民共和国政府信息公开条例》，紧紧围绕省气象局和市委市政府重点工作，</w:t>
      </w:r>
      <w:r>
        <w:rPr>
          <w:rFonts w:hint="eastAsia" w:ascii="仿宋_GB2312" w:eastAsia="仿宋_GB2312"/>
          <w:sz w:val="32"/>
          <w:szCs w:val="32"/>
          <w:lang w:val="en-US" w:eastAsia="zh-CN"/>
        </w:rPr>
        <w:t>坚持</w:t>
      </w:r>
      <w:r>
        <w:rPr>
          <w:rFonts w:hint="eastAsia" w:ascii="仿宋_GB2312" w:eastAsia="仿宋_GB2312"/>
          <w:sz w:val="32"/>
          <w:szCs w:val="32"/>
        </w:rPr>
        <w:t>“以公开为常态、不公开为例外”，深入推进政府信息公开工作。报告中所列数据统计期限为202</w:t>
      </w:r>
      <w:r>
        <w:rPr>
          <w:rFonts w:hint="eastAsia" w:ascii="仿宋_GB2312" w:eastAsia="仿宋_GB2312"/>
          <w:sz w:val="32"/>
          <w:szCs w:val="32"/>
          <w:lang w:val="en-US" w:eastAsia="zh-CN"/>
        </w:rPr>
        <w:t>4</w:t>
      </w:r>
      <w:r>
        <w:rPr>
          <w:rFonts w:hint="eastAsia" w:ascii="仿宋_GB2312" w:eastAsia="仿宋_GB2312"/>
          <w:sz w:val="32"/>
          <w:szCs w:val="32"/>
        </w:rPr>
        <w:t>年1月1日至202</w:t>
      </w:r>
      <w:r>
        <w:rPr>
          <w:rFonts w:hint="eastAsia" w:ascii="仿宋_GB2312" w:eastAsia="仿宋_GB2312"/>
          <w:sz w:val="32"/>
          <w:szCs w:val="32"/>
          <w:lang w:val="en-US" w:eastAsia="zh-CN"/>
        </w:rPr>
        <w:t>4</w:t>
      </w:r>
      <w:r>
        <w:rPr>
          <w:rFonts w:hint="eastAsia" w:ascii="仿宋_GB2312" w:eastAsia="仿宋_GB2312"/>
          <w:sz w:val="32"/>
          <w:szCs w:val="32"/>
        </w:rPr>
        <w:t xml:space="preserve">年12月31日。      </w:t>
      </w:r>
    </w:p>
    <w:p>
      <w:pPr>
        <w:spacing w:line="580" w:lineRule="exact"/>
        <w:ind w:firstLine="642" w:firstLineChars="200"/>
        <w:rPr>
          <w:rFonts w:ascii="仿宋_GB2312" w:eastAsia="仿宋_GB2312"/>
          <w:sz w:val="32"/>
          <w:szCs w:val="32"/>
        </w:rPr>
      </w:pPr>
      <w:r>
        <w:rPr>
          <w:rFonts w:hint="eastAsia" w:ascii="楷体_GB2312" w:eastAsia="楷体_GB2312"/>
          <w:b/>
          <w:sz w:val="32"/>
          <w:szCs w:val="32"/>
        </w:rPr>
        <w:t>（一）加强组织领导。</w:t>
      </w:r>
      <w:r>
        <w:rPr>
          <w:rFonts w:hint="eastAsia" w:ascii="仿宋_GB2312" w:eastAsia="仿宋_GB2312"/>
          <w:sz w:val="32"/>
          <w:szCs w:val="32"/>
        </w:rPr>
        <w:t>武威市气象局高度重视政府信息公开工作，成立了由主要领导任组长，分管领导为副组长，各机关科室、各直属单位主要负责人为成员</w:t>
      </w:r>
      <w:r>
        <w:rPr>
          <w:rFonts w:hint="eastAsia" w:ascii="仿宋_GB2312" w:eastAsia="仿宋_GB2312"/>
          <w:sz w:val="32"/>
          <w:szCs w:val="32"/>
          <w:lang w:val="en-US" w:eastAsia="zh-CN"/>
        </w:rPr>
        <w:t>的</w:t>
      </w:r>
      <w:r>
        <w:rPr>
          <w:rFonts w:hint="eastAsia" w:ascii="仿宋_GB2312" w:eastAsia="仿宋_GB2312"/>
          <w:sz w:val="32"/>
          <w:szCs w:val="32"/>
        </w:rPr>
        <w:t>局政务公开工作领导小组，</w:t>
      </w:r>
      <w:r>
        <w:rPr>
          <w:rFonts w:hint="eastAsia" w:ascii="仿宋_GB2312" w:eastAsia="仿宋_GB2312"/>
          <w:sz w:val="32"/>
          <w:szCs w:val="32"/>
          <w:lang w:val="en-US" w:eastAsia="zh-CN"/>
        </w:rPr>
        <w:t>定期</w:t>
      </w:r>
      <w:r>
        <w:rPr>
          <w:rFonts w:hint="eastAsia" w:ascii="仿宋_GB2312" w:eastAsia="仿宋_GB2312"/>
          <w:sz w:val="32"/>
          <w:szCs w:val="32"/>
        </w:rPr>
        <w:t>召开专题会议部署安排</w:t>
      </w:r>
      <w:r>
        <w:rPr>
          <w:rFonts w:hint="eastAsia" w:ascii="仿宋_GB2312" w:eastAsia="仿宋_GB2312"/>
          <w:sz w:val="32"/>
          <w:szCs w:val="32"/>
          <w:lang w:eastAsia="zh-CN"/>
        </w:rPr>
        <w:t>，</w:t>
      </w:r>
      <w:r>
        <w:rPr>
          <w:rFonts w:hint="eastAsia" w:ascii="仿宋_GB2312" w:eastAsia="仿宋_GB2312"/>
          <w:sz w:val="32"/>
          <w:szCs w:val="32"/>
          <w:lang w:val="en-US" w:eastAsia="zh-CN"/>
        </w:rPr>
        <w:t>及时听</w:t>
      </w:r>
      <w:r>
        <w:rPr>
          <w:rFonts w:hint="eastAsia" w:ascii="仿宋_GB2312" w:eastAsia="仿宋_GB2312"/>
          <w:sz w:val="32"/>
          <w:szCs w:val="32"/>
          <w:lang w:eastAsia="zh-CN"/>
        </w:rPr>
        <w:t>取</w:t>
      </w:r>
      <w:r>
        <w:rPr>
          <w:rFonts w:hint="eastAsia" w:ascii="仿宋_GB2312" w:eastAsia="仿宋_GB2312"/>
          <w:sz w:val="32"/>
          <w:szCs w:val="32"/>
        </w:rPr>
        <w:t>信息公开</w:t>
      </w:r>
      <w:r>
        <w:rPr>
          <w:rFonts w:hint="eastAsia" w:ascii="仿宋_GB2312" w:eastAsia="仿宋_GB2312"/>
          <w:sz w:val="32"/>
          <w:szCs w:val="32"/>
          <w:lang w:eastAsia="zh-CN"/>
        </w:rPr>
        <w:t>工作开展汇报</w:t>
      </w:r>
      <w:r>
        <w:rPr>
          <w:rFonts w:hint="eastAsia" w:ascii="仿宋_GB2312" w:eastAsia="仿宋_GB2312"/>
          <w:sz w:val="32"/>
          <w:szCs w:val="32"/>
        </w:rPr>
        <w:t>。</w:t>
      </w:r>
      <w:r>
        <w:rPr>
          <w:rFonts w:hint="eastAsia" w:ascii="仿宋_GB2312" w:eastAsia="仿宋_GB2312"/>
          <w:sz w:val="32"/>
          <w:szCs w:val="32"/>
          <w:lang w:val="en-US" w:eastAsia="zh-CN"/>
        </w:rPr>
        <w:t>局</w:t>
      </w:r>
      <w:r>
        <w:rPr>
          <w:rFonts w:hint="eastAsia" w:ascii="仿宋_GB2312" w:eastAsia="仿宋_GB2312"/>
          <w:sz w:val="32"/>
          <w:szCs w:val="32"/>
        </w:rPr>
        <w:t>办公室作为信息公开工作主管部门，负责推进、指导、协调、监督气象部门政府信息公开工作。</w:t>
      </w:r>
    </w:p>
    <w:p>
      <w:pPr>
        <w:spacing w:line="580" w:lineRule="exact"/>
        <w:ind w:firstLine="642" w:firstLineChars="200"/>
        <w:rPr>
          <w:rFonts w:ascii="仿宋_GB2312" w:eastAsia="仿宋_GB2312"/>
          <w:sz w:val="32"/>
          <w:szCs w:val="32"/>
        </w:rPr>
      </w:pPr>
      <w:r>
        <w:rPr>
          <w:rFonts w:hint="eastAsia" w:ascii="楷体_GB2312" w:eastAsia="楷体_GB2312"/>
          <w:b/>
          <w:sz w:val="32"/>
          <w:szCs w:val="32"/>
        </w:rPr>
        <w:t>（二）强化制度建设。</w:t>
      </w:r>
      <w:r>
        <w:rPr>
          <w:rFonts w:hint="eastAsia" w:ascii="仿宋_GB2312" w:eastAsia="仿宋_GB2312"/>
          <w:sz w:val="32"/>
          <w:szCs w:val="32"/>
        </w:rPr>
        <w:t>根据《条例》和《武威市公共企事业单位信息公开制度》等文件，结合工作实际，不断健全完善相关制度，明确公开内容、公开方式、公开时限、责任主体等，明确各科室职责、工作任务。逐步建立健全政府信息公开、依申请公开、信息发布保密审查等相关制度规定，做到有章可循、有规可依、按章办事。</w:t>
      </w:r>
    </w:p>
    <w:p>
      <w:pPr>
        <w:spacing w:line="580" w:lineRule="exact"/>
        <w:ind w:firstLine="642" w:firstLineChars="200"/>
        <w:rPr>
          <w:rFonts w:ascii="仿宋_GB2312" w:eastAsia="仿宋_GB2312"/>
          <w:sz w:val="32"/>
          <w:szCs w:val="32"/>
        </w:rPr>
      </w:pPr>
      <w:r>
        <w:rPr>
          <w:rFonts w:hint="eastAsia" w:ascii="楷体_GB2312" w:eastAsia="楷体_GB2312"/>
          <w:b/>
          <w:sz w:val="32"/>
          <w:szCs w:val="32"/>
        </w:rPr>
        <w:t>（三）规范公开流程。</w:t>
      </w:r>
      <w:r>
        <w:rPr>
          <w:rFonts w:hint="eastAsia" w:ascii="仿宋_GB2312" w:eastAsia="仿宋_GB2312"/>
          <w:sz w:val="32"/>
          <w:szCs w:val="32"/>
        </w:rPr>
        <w:t>对主动公开信息采取信息采集、信息制作、信息审查、信息录入操作流程，由各科室按照各自职责，根据主动公开目录清单，按照时间节点，做到主动公开、适时更新，并根据形势发展，对公开的信息随时查漏补缺，使信息公开内容更加详实。注重抓好科室主要负责人信息审查“关键关口”，信息公开做到三级审查。畅通依申请公开在线申请渠道、信函渠道及电话等，安排人员适时关注不同渠道依申请公开申请，及时进行登记转办。</w:t>
      </w:r>
    </w:p>
    <w:p>
      <w:pPr>
        <w:spacing w:line="580" w:lineRule="exact"/>
        <w:ind w:firstLine="642" w:firstLineChars="200"/>
        <w:rPr>
          <w:rFonts w:ascii="仿宋_GB2312" w:hAnsi="黑体" w:eastAsia="仿宋_GB2312"/>
          <w:sz w:val="32"/>
          <w:szCs w:val="32"/>
        </w:rPr>
      </w:pPr>
      <w:r>
        <w:rPr>
          <w:rFonts w:hint="eastAsia" w:ascii="楷体_GB2312" w:eastAsia="楷体_GB2312"/>
          <w:b/>
          <w:sz w:val="32"/>
          <w:szCs w:val="32"/>
        </w:rPr>
        <w:t>（四）拓宽渠道平台。</w:t>
      </w:r>
      <w:r>
        <w:rPr>
          <w:rFonts w:hint="eastAsia" w:ascii="仿宋_GB2312" w:eastAsia="仿宋_GB2312"/>
          <w:bCs/>
          <w:sz w:val="32"/>
          <w:szCs w:val="32"/>
        </w:rPr>
        <w:t>在严格按市政府网站要求的规定内容做好政府信息公开工作外，多渠道多平台联动传播。</w:t>
      </w:r>
      <w:r>
        <w:rPr>
          <w:rFonts w:hint="eastAsia" w:ascii="仿宋_GB2312" w:eastAsia="仿宋_GB2312"/>
          <w:sz w:val="32"/>
          <w:szCs w:val="32"/>
        </w:rPr>
        <w:t>通过电视天气预报、手机短信等</w:t>
      </w:r>
      <w:r>
        <w:rPr>
          <w:rFonts w:hint="eastAsia" w:ascii="仿宋_GB2312" w:eastAsia="仿宋_GB2312"/>
          <w:sz w:val="32"/>
          <w:szCs w:val="32"/>
          <w:lang w:val="en-US" w:eastAsia="zh-CN"/>
        </w:rPr>
        <w:t>传统</w:t>
      </w:r>
      <w:r>
        <w:rPr>
          <w:rFonts w:hint="eastAsia" w:ascii="仿宋_GB2312" w:eastAsia="仿宋_GB2312"/>
          <w:sz w:val="32"/>
          <w:szCs w:val="32"/>
        </w:rPr>
        <w:t>载体</w:t>
      </w:r>
      <w:r>
        <w:rPr>
          <w:rFonts w:hint="eastAsia" w:ascii="仿宋_GB2312" w:eastAsia="仿宋_GB2312"/>
          <w:sz w:val="32"/>
          <w:szCs w:val="32"/>
          <w:lang w:val="en-US" w:eastAsia="zh-CN"/>
        </w:rPr>
        <w:t>定期</w:t>
      </w:r>
      <w:r>
        <w:rPr>
          <w:rFonts w:hint="eastAsia" w:ascii="仿宋_GB2312" w:eastAsia="仿宋_GB2312"/>
          <w:sz w:val="32"/>
          <w:szCs w:val="32"/>
        </w:rPr>
        <w:t>发布公众气象服务信息</w:t>
      </w:r>
      <w:r>
        <w:rPr>
          <w:rFonts w:hint="eastAsia" w:ascii="仿宋_GB2312" w:eastAsia="仿宋_GB2312"/>
          <w:sz w:val="32"/>
          <w:szCs w:val="32"/>
          <w:lang w:eastAsia="zh-CN"/>
        </w:rPr>
        <w:t>；</w:t>
      </w:r>
      <w:r>
        <w:rPr>
          <w:rFonts w:hint="eastAsia" w:ascii="仿宋_GB2312" w:eastAsia="仿宋_GB2312"/>
          <w:bCs/>
          <w:sz w:val="32"/>
          <w:szCs w:val="32"/>
        </w:rPr>
        <w:t>大力发展新媒体平台，提升</w:t>
      </w:r>
      <w:r>
        <w:rPr>
          <w:rFonts w:hint="eastAsia" w:ascii="仿宋_GB2312" w:eastAsia="仿宋_GB2312"/>
          <w:bCs/>
          <w:sz w:val="32"/>
          <w:szCs w:val="32"/>
          <w:lang w:val="en-US" w:eastAsia="zh-CN"/>
        </w:rPr>
        <w:t>信息</w:t>
      </w:r>
      <w:r>
        <w:rPr>
          <w:rFonts w:hint="eastAsia" w:ascii="仿宋_GB2312" w:eastAsia="仿宋_GB2312"/>
          <w:bCs/>
          <w:sz w:val="32"/>
          <w:szCs w:val="32"/>
        </w:rPr>
        <w:t>公开的互动性与参与性，充分发挥微信公众号、微博、抖音、头条等政务新媒体传播优势</w:t>
      </w:r>
      <w:r>
        <w:rPr>
          <w:rFonts w:hint="eastAsia" w:ascii="仿宋_GB2312" w:eastAsia="仿宋_GB2312"/>
          <w:bCs/>
          <w:sz w:val="32"/>
          <w:szCs w:val="32"/>
          <w:lang w:eastAsia="zh-CN"/>
        </w:rPr>
        <w:t>；</w:t>
      </w:r>
      <w:r>
        <w:rPr>
          <w:rFonts w:hint="eastAsia" w:ascii="仿宋_GB2312" w:eastAsia="仿宋_GB2312"/>
          <w:sz w:val="32"/>
          <w:szCs w:val="32"/>
          <w:lang w:eastAsia="zh-CN"/>
        </w:rPr>
        <w:t>在</w:t>
      </w:r>
      <w:r>
        <w:rPr>
          <w:rFonts w:hint="eastAsia" w:ascii="仿宋_GB2312" w:eastAsia="仿宋_GB2312"/>
          <w:sz w:val="32"/>
          <w:szCs w:val="32"/>
        </w:rPr>
        <w:t>“3·23”世界气象日、“5·12”防灾减灾日等重要节点，</w:t>
      </w:r>
      <w:r>
        <w:rPr>
          <w:rFonts w:hint="eastAsia" w:ascii="仿宋_GB2312" w:eastAsia="仿宋_GB2312"/>
          <w:bCs/>
          <w:sz w:val="32"/>
          <w:szCs w:val="32"/>
        </w:rPr>
        <w:t>利用“开放日”、科普展板、装备展示、现场答疑</w:t>
      </w:r>
      <w:r>
        <w:rPr>
          <w:rFonts w:hint="eastAsia" w:ascii="仿宋_GB2312" w:eastAsia="仿宋_GB2312"/>
          <w:bCs/>
          <w:sz w:val="32"/>
          <w:szCs w:val="32"/>
          <w:lang w:eastAsia="zh-CN"/>
        </w:rPr>
        <w:t>、</w:t>
      </w:r>
      <w:r>
        <w:rPr>
          <w:rFonts w:hint="eastAsia" w:ascii="仿宋_GB2312" w:eastAsia="仿宋_GB2312"/>
          <w:bCs/>
          <w:sz w:val="32"/>
          <w:szCs w:val="32"/>
        </w:rPr>
        <w:t>气象专家进校园等方式加强气象科普宣传。</w:t>
      </w:r>
      <w:r>
        <w:rPr>
          <w:rFonts w:hint="eastAsia" w:ascii="仿宋_GB2312" w:hAnsi="宋体" w:eastAsia="仿宋_GB2312" w:cs="宋体"/>
          <w:color w:val="333333"/>
          <w:kern w:val="0"/>
          <w:sz w:val="32"/>
          <w:szCs w:val="32"/>
        </w:rPr>
        <w:t>据统计</w:t>
      </w:r>
      <w:r>
        <w:rPr>
          <w:rFonts w:hint="eastAsia" w:ascii="仿宋_GB2312" w:hAnsi="黑体" w:eastAsia="仿宋_GB2312"/>
          <w:sz w:val="32"/>
          <w:szCs w:val="32"/>
        </w:rPr>
        <w:t>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年，武威市气象局通过各种渠道主动公开政府信息</w:t>
      </w:r>
      <w:r>
        <w:rPr>
          <w:rFonts w:hint="eastAsia" w:ascii="仿宋_GB2312" w:hAnsi="黑体" w:eastAsia="仿宋_GB2312"/>
          <w:sz w:val="32"/>
          <w:szCs w:val="32"/>
          <w:lang w:val="en-US" w:eastAsia="zh-CN"/>
        </w:rPr>
        <w:t>2063</w:t>
      </w:r>
      <w:r>
        <w:rPr>
          <w:rFonts w:hint="eastAsia" w:ascii="仿宋_GB2312" w:hAnsi="黑体" w:eastAsia="仿宋_GB2312"/>
          <w:sz w:val="32"/>
          <w:szCs w:val="32"/>
        </w:rPr>
        <w:t>条。其中，政府网站516条、微信公众号457条、新浪微博416条、今日头条144条、抖音144条、电视36</w:t>
      </w:r>
      <w:r>
        <w:rPr>
          <w:rFonts w:hint="eastAsia" w:ascii="仿宋_GB2312" w:hAnsi="黑体" w:eastAsia="仿宋_GB2312"/>
          <w:sz w:val="32"/>
          <w:szCs w:val="32"/>
          <w:lang w:val="en-US" w:eastAsia="zh-CN"/>
        </w:rPr>
        <w:t>6</w:t>
      </w:r>
      <w:r>
        <w:rPr>
          <w:rFonts w:hint="eastAsia" w:ascii="仿宋_GB2312" w:hAnsi="黑体" w:eastAsia="仿宋_GB2312"/>
          <w:sz w:val="32"/>
          <w:szCs w:val="32"/>
        </w:rPr>
        <w:t>条、</w:t>
      </w:r>
      <w:r>
        <w:rPr>
          <w:rFonts w:hint="eastAsia" w:ascii="仿宋_GB2312" w:hAnsi="黑体" w:eastAsia="仿宋_GB2312"/>
          <w:sz w:val="32"/>
          <w:szCs w:val="32"/>
          <w:lang w:val="en-US" w:eastAsia="zh-CN"/>
        </w:rPr>
        <w:t>宣传单等20</w:t>
      </w:r>
      <w:r>
        <w:rPr>
          <w:rFonts w:hint="eastAsia" w:ascii="仿宋_GB2312" w:hAnsi="黑体" w:eastAsia="仿宋_GB2312"/>
          <w:sz w:val="32"/>
          <w:szCs w:val="32"/>
        </w:rPr>
        <w:t>条。</w:t>
      </w:r>
    </w:p>
    <w:p>
      <w:pPr>
        <w:ind w:firstLine="640" w:firstLineChars="200"/>
        <w:rPr>
          <w:rFonts w:ascii="黑体" w:hAnsi="黑体" w:eastAsia="黑体"/>
          <w:sz w:val="32"/>
          <w:szCs w:val="32"/>
        </w:rPr>
      </w:pPr>
      <w:r>
        <w:rPr>
          <w:rFonts w:hint="eastAsia" w:ascii="黑体" w:hAnsi="黑体" w:eastAsia="黑体"/>
          <w:sz w:val="32"/>
          <w:szCs w:val="32"/>
        </w:rPr>
        <w:t>二、主动公开政府信息情况</w:t>
      </w:r>
    </w:p>
    <w:tbl>
      <w:tblPr>
        <w:tblStyle w:val="4"/>
        <w:tblW w:w="0" w:type="auto"/>
        <w:jc w:val="center"/>
        <w:tblLayout w:type="fixed"/>
        <w:tblCellMar>
          <w:top w:w="0" w:type="dxa"/>
          <w:left w:w="0" w:type="dxa"/>
          <w:bottom w:w="0" w:type="dxa"/>
          <w:right w:w="0" w:type="dxa"/>
        </w:tblCellMar>
      </w:tblPr>
      <w:tblGrid>
        <w:gridCol w:w="2200"/>
        <w:gridCol w:w="2200"/>
        <w:gridCol w:w="2200"/>
        <w:gridCol w:w="2200"/>
      </w:tblGrid>
      <w:tr>
        <w:tblPrEx>
          <w:tblCellMar>
            <w:top w:w="0" w:type="dxa"/>
            <w:left w:w="0" w:type="dxa"/>
            <w:bottom w:w="0" w:type="dxa"/>
            <w:right w:w="0" w:type="dxa"/>
          </w:tblCellMar>
        </w:tblPrEx>
        <w:trPr>
          <w:trHeight w:val="531" w:hRule="atLeast"/>
          <w:jc w:val="center"/>
        </w:trPr>
        <w:tc>
          <w:tcPr>
            <w:tcW w:w="880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rPr>
                <w:rFonts w:ascii="宋体" w:hAnsi="宋体" w:cs="宋体"/>
                <w:kern w:val="0"/>
                <w:sz w:val="24"/>
              </w:rPr>
            </w:pPr>
            <w:r>
              <w:rPr>
                <w:rFonts w:hint="eastAsia" w:ascii="方正黑体_GBK" w:hAnsi="方正黑体_GBK" w:eastAsia="方正黑体_GBK" w:cs="方正黑体_GBK"/>
                <w:kern w:val="0"/>
                <w:sz w:val="24"/>
              </w:rPr>
              <w:t>第二十条第（一）项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信息内容</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本年制发件数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本年废止件数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现行有效件数</w:t>
            </w:r>
          </w:p>
        </w:tc>
      </w:tr>
      <w:tr>
        <w:tblPrEx>
          <w:tblCellMar>
            <w:top w:w="0" w:type="dxa"/>
            <w:left w:w="0" w:type="dxa"/>
            <w:bottom w:w="0" w:type="dxa"/>
            <w:right w:w="0" w:type="dxa"/>
          </w:tblCellMar>
        </w:tblPrEx>
        <w:trPr>
          <w:trHeight w:val="8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规章</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kern w:val="0"/>
                <w:sz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kern w:val="0"/>
                <w:sz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4"/>
              </w:rPr>
            </w:pPr>
          </w:p>
        </w:tc>
      </w:tr>
      <w:tr>
        <w:tblPrEx>
          <w:tblCellMar>
            <w:top w:w="0" w:type="dxa"/>
            <w:left w:w="0" w:type="dxa"/>
            <w:bottom w:w="0" w:type="dxa"/>
            <w:right w:w="0" w:type="dxa"/>
          </w:tblCellMar>
        </w:tblPrEx>
        <w:trPr>
          <w:trHeight w:val="5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行政规范性文件</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kern w:val="0"/>
                <w:sz w:val="24"/>
              </w:rPr>
            </w:pPr>
            <w:r>
              <w:rPr>
                <w:rFonts w:hint="eastAsia" w:ascii="楷体_GB2312" w:hAnsi="楷体_GB2312" w:eastAsia="楷体_GB2312" w:cs="楷体_GB2312"/>
                <w:kern w:val="0"/>
                <w:sz w:val="20"/>
                <w:szCs w:val="20"/>
              </w:rPr>
              <w:t>　</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kern w:val="0"/>
                <w:sz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kern w:val="0"/>
                <w:sz w:val="24"/>
              </w:rPr>
            </w:pP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rPr>
                <w:rFonts w:ascii="宋体" w:hAnsi="宋体" w:cs="宋体"/>
                <w:kern w:val="0"/>
                <w:sz w:val="24"/>
              </w:rPr>
            </w:pPr>
            <w:r>
              <w:rPr>
                <w:rFonts w:hint="eastAsia" w:ascii="方正黑体_GBK" w:hAnsi="方正黑体_GBK" w:eastAsia="方正黑体_GBK" w:cs="方正黑体_GBK"/>
                <w:kern w:val="0"/>
                <w:sz w:val="24"/>
              </w:rPr>
              <w:t>第二十条第（五）项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信息内容</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本年处理决定数量</w:t>
            </w:r>
          </w:p>
        </w:tc>
      </w:tr>
      <w:tr>
        <w:tblPrEx>
          <w:tblCellMar>
            <w:top w:w="0" w:type="dxa"/>
            <w:left w:w="0" w:type="dxa"/>
            <w:bottom w:w="0" w:type="dxa"/>
            <w:right w:w="0" w:type="dxa"/>
          </w:tblCellMar>
        </w:tblPrEx>
        <w:trPr>
          <w:trHeight w:val="618"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rPr>
            </w:pPr>
            <w:r>
              <w:rPr>
                <w:rFonts w:hint="eastAsia" w:ascii="宋体" w:hAnsi="宋体" w:cs="宋体"/>
                <w:b/>
                <w:bCs/>
                <w:kern w:val="0"/>
                <w:sz w:val="20"/>
                <w:szCs w:val="20"/>
              </w:rPr>
              <w:t>行政许可</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hint="eastAsia" w:ascii="宋体" w:hAnsi="宋体" w:eastAsia="宋体" w:cs="宋体"/>
                <w:kern w:val="0"/>
                <w:sz w:val="24"/>
                <w:lang w:eastAsia="zh-CN"/>
              </w:rPr>
            </w:pPr>
            <w:r>
              <w:rPr>
                <w:rFonts w:hint="eastAsia" w:cs="宋体"/>
                <w:kern w:val="0"/>
                <w:szCs w:val="21"/>
                <w:lang w:val="en-US" w:eastAsia="zh-CN"/>
              </w:rPr>
              <w:t>6</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rPr>
                <w:rFonts w:ascii="宋体" w:hAnsi="宋体" w:cs="宋体"/>
                <w:kern w:val="0"/>
                <w:sz w:val="24"/>
              </w:rPr>
            </w:pPr>
            <w:r>
              <w:rPr>
                <w:rFonts w:hint="eastAsia" w:ascii="方正黑体_GBK" w:hAnsi="方正黑体_GBK" w:eastAsia="方正黑体_GBK" w:cs="方正黑体_GBK"/>
                <w:kern w:val="0"/>
                <w:sz w:val="24"/>
              </w:rPr>
              <w:t>第二十条第（六）项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信息内容</w:t>
            </w:r>
          </w:p>
        </w:tc>
        <w:tc>
          <w:tcPr>
            <w:tcW w:w="6600"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本年处理决定数量</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行政处罚</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rPr>
            </w:pPr>
            <w:r>
              <w:rPr>
                <w:rFonts w:hint="eastAsia" w:ascii="宋体" w:hAnsi="宋体" w:cs="宋体"/>
                <w:kern w:val="0"/>
                <w:sz w:val="20"/>
                <w:szCs w:val="20"/>
              </w:rPr>
              <w:t>　</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行政强制</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rPr>
            </w:pPr>
            <w:r>
              <w:rPr>
                <w:rFonts w:hint="eastAsia" w:ascii="宋体" w:hAnsi="宋体" w:cs="宋体"/>
                <w:kern w:val="0"/>
                <w:sz w:val="20"/>
                <w:szCs w:val="20"/>
              </w:rPr>
              <w:t>　</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rPr>
                <w:rFonts w:ascii="宋体" w:hAnsi="宋体" w:cs="宋体"/>
                <w:kern w:val="0"/>
                <w:sz w:val="24"/>
              </w:rPr>
            </w:pPr>
            <w:r>
              <w:rPr>
                <w:rFonts w:hint="eastAsia" w:ascii="方正黑体_GBK" w:hAnsi="方正黑体_GBK" w:eastAsia="方正黑体_GBK" w:cs="方正黑体_GBK"/>
                <w:kern w:val="0"/>
                <w:sz w:val="24"/>
              </w:rPr>
              <w:t>第二十条第（八）项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信息内容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本年收费金额（单位：万元）</w:t>
            </w:r>
          </w:p>
        </w:tc>
      </w:tr>
      <w:tr>
        <w:tblPrEx>
          <w:tblCellMar>
            <w:top w:w="0" w:type="dxa"/>
            <w:left w:w="0" w:type="dxa"/>
            <w:bottom w:w="0" w:type="dxa"/>
            <w:right w:w="0" w:type="dxa"/>
          </w:tblCellMar>
        </w:tblPrEx>
        <w:trPr>
          <w:trHeight w:val="587"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rPr>
            </w:pPr>
            <w:r>
              <w:rPr>
                <w:rFonts w:hint="eastAsia" w:ascii="宋体" w:hAnsi="宋体" w:cs="宋体"/>
                <w:b/>
                <w:bCs/>
                <w:kern w:val="0"/>
                <w:sz w:val="20"/>
                <w:szCs w:val="20"/>
              </w:rPr>
              <w:t>行政事业性收费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rPr>
            </w:pPr>
          </w:p>
        </w:tc>
      </w:tr>
    </w:tbl>
    <w:p>
      <w:pPr>
        <w:widowControl/>
        <w:shd w:val="clear" w:color="auto" w:fill="FFFFFF"/>
        <w:spacing w:line="560" w:lineRule="exact"/>
        <w:ind w:firstLine="482"/>
        <w:rPr>
          <w:rFonts w:ascii="黑体" w:hAnsi="黑体" w:eastAsia="黑体" w:cs="宋体"/>
          <w:kern w:val="0"/>
          <w:sz w:val="32"/>
          <w:szCs w:val="32"/>
        </w:rPr>
      </w:pPr>
      <w:r>
        <w:rPr>
          <w:rFonts w:hint="eastAsia" w:ascii="黑体" w:hAnsi="黑体" w:eastAsia="黑体" w:cs="宋体"/>
          <w:bCs/>
          <w:kern w:val="0"/>
          <w:sz w:val="32"/>
          <w:szCs w:val="32"/>
        </w:rPr>
        <w:t>三、收到和处理政府信息公开申请情况</w:t>
      </w:r>
    </w:p>
    <w:tbl>
      <w:tblPr>
        <w:tblStyle w:val="4"/>
        <w:tblW w:w="0" w:type="auto"/>
        <w:jc w:val="center"/>
        <w:tblLayout w:type="fixed"/>
        <w:tblCellMar>
          <w:top w:w="0" w:type="dxa"/>
          <w:left w:w="0" w:type="dxa"/>
          <w:bottom w:w="0" w:type="dxa"/>
          <w:right w:w="0" w:type="dxa"/>
        </w:tblCellMar>
      </w:tblPr>
      <w:tblGrid>
        <w:gridCol w:w="839"/>
        <w:gridCol w:w="902"/>
        <w:gridCol w:w="2305"/>
        <w:gridCol w:w="466"/>
        <w:gridCol w:w="693"/>
        <w:gridCol w:w="644"/>
        <w:gridCol w:w="756"/>
        <w:gridCol w:w="834"/>
        <w:gridCol w:w="516"/>
        <w:gridCol w:w="853"/>
      </w:tblGrid>
      <w:tr>
        <w:tblPrEx>
          <w:tblCellMar>
            <w:top w:w="0" w:type="dxa"/>
            <w:left w:w="0" w:type="dxa"/>
            <w:bottom w:w="0" w:type="dxa"/>
            <w:right w:w="0" w:type="dxa"/>
          </w:tblCellMar>
        </w:tblPrEx>
        <w:trPr>
          <w:jc w:val="center"/>
        </w:trPr>
        <w:tc>
          <w:tcPr>
            <w:tcW w:w="4046"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cs="宋体"/>
                <w:kern w:val="0"/>
                <w:sz w:val="24"/>
              </w:rPr>
            </w:pPr>
            <w:r>
              <w:rPr>
                <w:rFonts w:hint="eastAsia" w:ascii="楷体" w:hAnsi="楷体" w:eastAsia="楷体" w:cs="宋体"/>
                <w:kern w:val="0"/>
                <w:sz w:val="20"/>
                <w:szCs w:val="20"/>
              </w:rPr>
              <w:t>（本列数据的勾稽关系为：第一项加第二项之和，等于第三项加第四项之和）</w:t>
            </w:r>
          </w:p>
        </w:tc>
        <w:tc>
          <w:tcPr>
            <w:tcW w:w="4762" w:type="dxa"/>
            <w:gridSpan w:val="7"/>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申请人情况</w:t>
            </w:r>
          </w:p>
        </w:tc>
      </w:tr>
      <w:tr>
        <w:tblPrEx>
          <w:tblCellMar>
            <w:top w:w="0" w:type="dxa"/>
            <w:left w:w="0" w:type="dxa"/>
            <w:bottom w:w="0" w:type="dxa"/>
            <w:right w:w="0" w:type="dxa"/>
          </w:tblCellMar>
        </w:tblPrEx>
        <w:trPr>
          <w:jc w:val="center"/>
        </w:trPr>
        <w:tc>
          <w:tcPr>
            <w:tcW w:w="4046"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rPr>
            </w:pPr>
          </w:p>
        </w:tc>
        <w:tc>
          <w:tcPr>
            <w:tcW w:w="466" w:type="dxa"/>
            <w:vMerge w:val="restart"/>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自然人</w:t>
            </w:r>
          </w:p>
        </w:tc>
        <w:tc>
          <w:tcPr>
            <w:tcW w:w="3443" w:type="dxa"/>
            <w:gridSpan w:val="5"/>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法人或其他组织</w:t>
            </w:r>
          </w:p>
        </w:tc>
        <w:tc>
          <w:tcPr>
            <w:tcW w:w="853" w:type="dxa"/>
            <w:vMerge w:val="restart"/>
            <w:tcBorders>
              <w:top w:val="single" w:color="auto" w:sz="8"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总计</w:t>
            </w:r>
          </w:p>
        </w:tc>
      </w:tr>
      <w:tr>
        <w:tblPrEx>
          <w:tblCellMar>
            <w:top w:w="0" w:type="dxa"/>
            <w:left w:w="0" w:type="dxa"/>
            <w:bottom w:w="0" w:type="dxa"/>
            <w:right w:w="0" w:type="dxa"/>
          </w:tblCellMar>
        </w:tblPrEx>
        <w:trPr>
          <w:jc w:val="center"/>
        </w:trPr>
        <w:tc>
          <w:tcPr>
            <w:tcW w:w="4046"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rPr>
            </w:pPr>
          </w:p>
        </w:tc>
        <w:tc>
          <w:tcPr>
            <w:tcW w:w="466" w:type="dxa"/>
            <w:vMerge w:val="continue"/>
            <w:tcBorders>
              <w:top w:val="single" w:color="auto" w:sz="2" w:space="0"/>
              <w:left w:val="single" w:color="auto" w:sz="2" w:space="0"/>
              <w:bottom w:val="single" w:color="auto" w:sz="8" w:space="0"/>
              <w:right w:val="single" w:color="auto" w:sz="8" w:space="0"/>
            </w:tcBorders>
            <w:vAlign w:val="center"/>
          </w:tcPr>
          <w:p>
            <w:pPr>
              <w:widowControl/>
              <w:jc w:val="left"/>
              <w:rPr>
                <w:rFonts w:ascii="宋体" w:hAnsi="宋体" w:cs="宋体"/>
                <w:b/>
                <w:bCs/>
                <w:kern w:val="0"/>
                <w:sz w:val="24"/>
              </w:rPr>
            </w:pPr>
          </w:p>
        </w:tc>
        <w:tc>
          <w:tcPr>
            <w:tcW w:w="693"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商业</w:t>
            </w:r>
          </w:p>
          <w:p>
            <w:pPr>
              <w:widowControl/>
              <w:spacing w:line="560" w:lineRule="exact"/>
              <w:rPr>
                <w:rFonts w:ascii="宋体" w:hAnsi="宋体" w:cs="宋体"/>
                <w:b/>
                <w:bCs/>
                <w:kern w:val="0"/>
                <w:sz w:val="24"/>
              </w:rPr>
            </w:pPr>
            <w:r>
              <w:rPr>
                <w:rFonts w:hint="eastAsia" w:ascii="宋体" w:hAnsi="宋体" w:cs="宋体"/>
                <w:b/>
                <w:bCs/>
                <w:kern w:val="0"/>
                <w:sz w:val="20"/>
                <w:szCs w:val="20"/>
              </w:rPr>
              <w:t>企业</w:t>
            </w:r>
          </w:p>
        </w:tc>
        <w:tc>
          <w:tcPr>
            <w:tcW w:w="644"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科研</w:t>
            </w:r>
          </w:p>
          <w:p>
            <w:pPr>
              <w:widowControl/>
              <w:spacing w:line="560" w:lineRule="exact"/>
              <w:rPr>
                <w:rFonts w:ascii="宋体" w:hAnsi="宋体" w:cs="宋体"/>
                <w:b/>
                <w:bCs/>
                <w:kern w:val="0"/>
                <w:sz w:val="24"/>
              </w:rPr>
            </w:pPr>
            <w:r>
              <w:rPr>
                <w:rFonts w:hint="eastAsia" w:ascii="宋体" w:hAnsi="宋体" w:cs="宋体"/>
                <w:b/>
                <w:bCs/>
                <w:kern w:val="0"/>
                <w:sz w:val="20"/>
                <w:szCs w:val="20"/>
              </w:rPr>
              <w:t>机构</w:t>
            </w:r>
          </w:p>
        </w:tc>
        <w:tc>
          <w:tcPr>
            <w:tcW w:w="756" w:type="dxa"/>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社会公益组织</w:t>
            </w:r>
          </w:p>
        </w:tc>
        <w:tc>
          <w:tcPr>
            <w:tcW w:w="834" w:type="dxa"/>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法律服务机构</w:t>
            </w:r>
          </w:p>
        </w:tc>
        <w:tc>
          <w:tcPr>
            <w:tcW w:w="516" w:type="dxa"/>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其他</w:t>
            </w:r>
          </w:p>
        </w:tc>
        <w:tc>
          <w:tcPr>
            <w:tcW w:w="853" w:type="dxa"/>
            <w:vMerge w:val="continue"/>
            <w:tcBorders>
              <w:top w:val="single" w:color="auto" w:sz="8"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r>
      <w:tr>
        <w:tblPrEx>
          <w:tblCellMar>
            <w:top w:w="0" w:type="dxa"/>
            <w:left w:w="0" w:type="dxa"/>
            <w:bottom w:w="0" w:type="dxa"/>
            <w:right w:w="0" w:type="dxa"/>
          </w:tblCellMar>
        </w:tblPrEx>
        <w:trPr>
          <w:trHeight w:val="587" w:hRule="atLeast"/>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一、本年新收政府信息公开申请数量</w:t>
            </w:r>
          </w:p>
        </w:tc>
        <w:tc>
          <w:tcPr>
            <w:tcW w:w="4762"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二、上年结转政府信息公开申请数量</w:t>
            </w:r>
          </w:p>
        </w:tc>
        <w:tc>
          <w:tcPr>
            <w:tcW w:w="4762"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trHeight w:val="524" w:hRule="atLeast"/>
          <w:jc w:val="center"/>
        </w:trPr>
        <w:tc>
          <w:tcPr>
            <w:tcW w:w="839" w:type="dxa"/>
            <w:vMerge w:val="restart"/>
            <w:tcBorders>
              <w:top w:val="single" w:color="auto" w:sz="2" w:space="0"/>
              <w:left w:val="single" w:color="auto" w:sz="8"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三、本年度办理结果</w:t>
            </w:r>
          </w:p>
        </w:tc>
        <w:tc>
          <w:tcPr>
            <w:tcW w:w="3207" w:type="dxa"/>
            <w:gridSpan w:val="2"/>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（一）予以公开</w:t>
            </w:r>
          </w:p>
        </w:tc>
        <w:tc>
          <w:tcPr>
            <w:tcW w:w="4762" w:type="dxa"/>
            <w:gridSpan w:val="7"/>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3207" w:type="dxa"/>
            <w:gridSpan w:val="2"/>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（二）部分公开</w:t>
            </w:r>
            <w:r>
              <w:rPr>
                <w:rFonts w:hint="eastAsia" w:ascii="楷体" w:hAnsi="楷体" w:eastAsia="楷体" w:cs="宋体"/>
                <w:b/>
                <w:bCs/>
                <w:kern w:val="0"/>
                <w:sz w:val="20"/>
                <w:szCs w:val="20"/>
              </w:rPr>
              <w:t>（区分处理的，只计这一情形，不计其他情形）</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trHeight w:val="649"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restart"/>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（三）不予公开</w:t>
            </w: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1.属于国家秘密</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2.其他法律行政法规禁止公开</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3.危及“三安全一稳定”</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4.保护第三方合法权益</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5.属于三类内部事务信息</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6.属于四类过程性信息</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7.属于行政执法案卷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8.属于行政查询事项</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restart"/>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（四）无法提供</w:t>
            </w: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1.本机关不掌握相关政府信息</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2.没有现成信息需要另行制作</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3.补正后申请内容仍不明确</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trHeight w:val="550"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restart"/>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（五）不予处理</w:t>
            </w: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1.信访举报投诉类申请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trHeight w:val="562"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2.重复申请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3.要求提供公开出版物</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4"/>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4.无正当理由大量反复申请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kern w:val="0"/>
                <w:sz w:val="24"/>
              </w:rPr>
            </w:pPr>
          </w:p>
        </w:tc>
      </w:tr>
      <w:tr>
        <w:tblPrEx>
          <w:tblCellMar>
            <w:top w:w="0" w:type="dxa"/>
            <w:left w:w="0" w:type="dxa"/>
            <w:bottom w:w="0" w:type="dxa"/>
            <w:right w:w="0" w:type="dxa"/>
          </w:tblCellMar>
        </w:tblPrEx>
        <w:trPr>
          <w:trHeight w:val="779"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5.要求行政机关确认或重新出具已获取信息</w:t>
            </w:r>
          </w:p>
        </w:tc>
        <w:tc>
          <w:tcPr>
            <w:tcW w:w="4762" w:type="dxa"/>
            <w:gridSpan w:val="7"/>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restart"/>
            <w:tcBorders>
              <w:top w:val="inset" w:color="auto" w:sz="8"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（六）其他处理</w:t>
            </w: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1.申请人无正当理由逾期不补正、行政机关不再处理其政府信息公开申请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inset" w:color="auto" w:sz="8"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2.申请人逾期未按收费通知要求缴纳费用、行政机关不再处理其政府信息公开申请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p>
        </w:tc>
      </w:tr>
      <w:tr>
        <w:tblPrEx>
          <w:tblCellMar>
            <w:top w:w="0" w:type="dxa"/>
            <w:left w:w="0" w:type="dxa"/>
            <w:bottom w:w="0" w:type="dxa"/>
            <w:right w:w="0" w:type="dxa"/>
          </w:tblCellMar>
        </w:tblPrEx>
        <w:trPr>
          <w:trHeight w:val="699"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902" w:type="dxa"/>
            <w:vMerge w:val="continue"/>
            <w:tcBorders>
              <w:top w:val="inset" w:color="auto" w:sz="8" w:space="0"/>
              <w:left w:val="single" w:color="auto" w:sz="2" w:space="0"/>
              <w:bottom w:val="inset" w:color="auto" w:sz="8" w:space="0"/>
              <w:right w:val="single" w:color="auto" w:sz="8" w:space="0"/>
            </w:tcBorders>
            <w:vAlign w:val="center"/>
          </w:tcPr>
          <w:p>
            <w:pPr>
              <w:widowControl/>
              <w:jc w:val="left"/>
              <w:rPr>
                <w:rFonts w:ascii="宋体" w:hAnsi="宋体" w:cs="宋体"/>
                <w:b/>
                <w:bCs/>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3.其他</w:t>
            </w:r>
          </w:p>
        </w:tc>
        <w:tc>
          <w:tcPr>
            <w:tcW w:w="4762" w:type="dxa"/>
            <w:gridSpan w:val="7"/>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r>
              <w:rPr>
                <w:rFonts w:hint="eastAsia" w:ascii="楷体_GB2312" w:hAnsi="楷体_GB2312" w:eastAsia="楷体_GB2312" w:cs="楷体_GB2312"/>
                <w:kern w:val="0"/>
                <w:sz w:val="20"/>
                <w:szCs w:val="20"/>
              </w:rPr>
              <w:t xml:space="preserve"> （因其他原因而不再处理的数量（不制发答复书））</w:t>
            </w:r>
          </w:p>
        </w:tc>
      </w:tr>
      <w:tr>
        <w:tblPrEx>
          <w:tblCellMar>
            <w:top w:w="0" w:type="dxa"/>
            <w:left w:w="0" w:type="dxa"/>
            <w:bottom w:w="0" w:type="dxa"/>
            <w:right w:w="0" w:type="dxa"/>
          </w:tblCellMar>
        </w:tblPrEx>
        <w:trPr>
          <w:trHeight w:val="500"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kern w:val="0"/>
                <w:sz w:val="24"/>
              </w:rPr>
            </w:pPr>
          </w:p>
        </w:tc>
        <w:tc>
          <w:tcPr>
            <w:tcW w:w="3207" w:type="dxa"/>
            <w:gridSpan w:val="2"/>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（七）总计</w:t>
            </w:r>
          </w:p>
        </w:tc>
        <w:tc>
          <w:tcPr>
            <w:tcW w:w="466" w:type="dxa"/>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r>
              <w:rPr>
                <w:rFonts w:cs="宋体"/>
                <w:kern w:val="0"/>
                <w:sz w:val="20"/>
                <w:szCs w:val="20"/>
              </w:rPr>
              <w:t> </w:t>
            </w:r>
          </w:p>
        </w:tc>
        <w:tc>
          <w:tcPr>
            <w:tcW w:w="693"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r>
              <w:rPr>
                <w:rFonts w:cs="宋体"/>
                <w:kern w:val="0"/>
                <w:sz w:val="20"/>
                <w:szCs w:val="20"/>
              </w:rPr>
              <w:t> </w:t>
            </w:r>
          </w:p>
        </w:tc>
        <w:tc>
          <w:tcPr>
            <w:tcW w:w="644"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r>
              <w:rPr>
                <w:rFonts w:cs="宋体"/>
                <w:kern w:val="0"/>
                <w:sz w:val="20"/>
                <w:szCs w:val="20"/>
              </w:rPr>
              <w:t> </w:t>
            </w:r>
          </w:p>
        </w:tc>
        <w:tc>
          <w:tcPr>
            <w:tcW w:w="75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r>
              <w:rPr>
                <w:rFonts w:cs="宋体"/>
                <w:kern w:val="0"/>
                <w:sz w:val="20"/>
                <w:szCs w:val="20"/>
              </w:rPr>
              <w:t> </w:t>
            </w:r>
          </w:p>
        </w:tc>
        <w:tc>
          <w:tcPr>
            <w:tcW w:w="834"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r>
              <w:rPr>
                <w:rFonts w:cs="宋体"/>
                <w:kern w:val="0"/>
                <w:sz w:val="20"/>
                <w:szCs w:val="20"/>
              </w:rPr>
              <w:t> </w:t>
            </w:r>
          </w:p>
        </w:tc>
        <w:tc>
          <w:tcPr>
            <w:tcW w:w="516"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rPr>
            </w:pPr>
            <w:r>
              <w:rPr>
                <w:rFonts w:cs="宋体"/>
                <w:kern w:val="0"/>
                <w:sz w:val="20"/>
                <w:szCs w:val="20"/>
              </w:rPr>
              <w:t> </w:t>
            </w:r>
          </w:p>
        </w:tc>
        <w:tc>
          <w:tcPr>
            <w:tcW w:w="853"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tcPr>
          <w:p>
            <w:pPr>
              <w:widowControl/>
              <w:spacing w:line="560" w:lineRule="exact"/>
              <w:rPr>
                <w:rFonts w:ascii="宋体" w:hAnsi="宋体" w:cs="宋体"/>
                <w:kern w:val="0"/>
                <w:sz w:val="24"/>
              </w:rPr>
            </w:pPr>
            <w:r>
              <w:rPr>
                <w:rFonts w:cs="宋体"/>
                <w:kern w:val="0"/>
                <w:sz w:val="20"/>
                <w:szCs w:val="20"/>
              </w:rPr>
              <w:t> </w:t>
            </w:r>
          </w:p>
        </w:tc>
      </w:tr>
      <w:tr>
        <w:tblPrEx>
          <w:tblCellMar>
            <w:top w:w="0" w:type="dxa"/>
            <w:left w:w="0" w:type="dxa"/>
            <w:bottom w:w="0" w:type="dxa"/>
            <w:right w:w="0" w:type="dxa"/>
          </w:tblCellMar>
        </w:tblPrEx>
        <w:trPr>
          <w:trHeight w:val="732" w:hRule="atLeast"/>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kern w:val="0"/>
                <w:sz w:val="24"/>
              </w:rPr>
            </w:pPr>
            <w:r>
              <w:rPr>
                <w:rFonts w:hint="eastAsia" w:ascii="宋体" w:hAnsi="宋体" w:cs="宋体"/>
                <w:b/>
                <w:bCs/>
                <w:kern w:val="0"/>
                <w:sz w:val="20"/>
                <w:szCs w:val="20"/>
              </w:rPr>
              <w:t>四、结转下年度继续办理</w:t>
            </w:r>
          </w:p>
        </w:tc>
        <w:tc>
          <w:tcPr>
            <w:tcW w:w="4762"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kern w:val="0"/>
                <w:sz w:val="24"/>
              </w:rPr>
            </w:pPr>
          </w:p>
        </w:tc>
      </w:tr>
    </w:tbl>
    <w:p>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bCs/>
          <w:kern w:val="0"/>
          <w:sz w:val="32"/>
          <w:szCs w:val="32"/>
        </w:rPr>
        <w:t>四、政府信息公开行政复议、行政诉讼情况</w:t>
      </w:r>
    </w:p>
    <w:tbl>
      <w:tblPr>
        <w:tblStyle w:val="4"/>
        <w:tblW w:w="0" w:type="auto"/>
        <w:jc w:val="center"/>
        <w:tblLayout w:type="fixed"/>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CellMar>
            <w:top w:w="0" w:type="dxa"/>
            <w:left w:w="0" w:type="dxa"/>
            <w:bottom w:w="0" w:type="dxa"/>
            <w:right w:w="0" w:type="dxa"/>
          </w:tblCellMar>
        </w:tblPrEx>
        <w:trPr>
          <w:jc w:val="center"/>
        </w:trPr>
        <w:tc>
          <w:tcPr>
            <w:tcW w:w="325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行政复议</w:t>
            </w:r>
          </w:p>
        </w:tc>
        <w:tc>
          <w:tcPr>
            <w:tcW w:w="649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行政诉讼</w:t>
            </w:r>
          </w:p>
        </w:tc>
      </w:tr>
      <w:tr>
        <w:tblPrEx>
          <w:tblCellMar>
            <w:top w:w="0" w:type="dxa"/>
            <w:left w:w="0" w:type="dxa"/>
            <w:bottom w:w="0" w:type="dxa"/>
            <w:right w:w="0" w:type="dxa"/>
          </w:tblCellMar>
        </w:tblPrEx>
        <w:trPr>
          <w:jc w:val="center"/>
        </w:trPr>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结果维持</w:t>
            </w:r>
          </w:p>
        </w:tc>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结果</w:t>
            </w:r>
            <w:r>
              <w:rPr>
                <w:rFonts w:hint="eastAsia" w:ascii="宋体" w:hAnsi="宋体" w:cs="宋体"/>
                <w:b/>
                <w:bCs/>
                <w:kern w:val="0"/>
                <w:sz w:val="20"/>
                <w:szCs w:val="20"/>
              </w:rPr>
              <w:br w:type="textWrapping"/>
            </w:r>
            <w:r>
              <w:rPr>
                <w:rFonts w:hint="eastAsia" w:ascii="宋体" w:hAnsi="宋体" w:cs="宋体"/>
                <w:b/>
                <w:bCs/>
                <w:kern w:val="0"/>
                <w:sz w:val="20"/>
                <w:szCs w:val="20"/>
              </w:rPr>
              <w:t>纠正</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其他</w:t>
            </w:r>
            <w:r>
              <w:rPr>
                <w:rFonts w:hint="eastAsia" w:ascii="宋体" w:hAnsi="宋体" w:cs="宋体"/>
                <w:b/>
                <w:bCs/>
                <w:kern w:val="0"/>
                <w:sz w:val="20"/>
                <w:szCs w:val="20"/>
              </w:rPr>
              <w:br w:type="textWrapping"/>
            </w:r>
            <w:r>
              <w:rPr>
                <w:rFonts w:hint="eastAsia" w:ascii="宋体" w:hAnsi="宋体" w:cs="宋体"/>
                <w:b/>
                <w:bCs/>
                <w:kern w:val="0"/>
                <w:sz w:val="20"/>
                <w:szCs w:val="20"/>
              </w:rPr>
              <w:t>结果</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尚未</w:t>
            </w:r>
            <w:r>
              <w:rPr>
                <w:rFonts w:hint="eastAsia" w:ascii="宋体" w:hAnsi="宋体" w:cs="宋体"/>
                <w:b/>
                <w:bCs/>
                <w:kern w:val="0"/>
                <w:sz w:val="20"/>
                <w:szCs w:val="20"/>
              </w:rPr>
              <w:br w:type="textWrapping"/>
            </w:r>
            <w:r>
              <w:rPr>
                <w:rFonts w:hint="eastAsia" w:ascii="宋体" w:hAnsi="宋体" w:cs="宋体"/>
                <w:b/>
                <w:bCs/>
                <w:kern w:val="0"/>
                <w:sz w:val="20"/>
                <w:szCs w:val="20"/>
              </w:rPr>
              <w:t>审结</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未经复议直接起诉</w:t>
            </w:r>
          </w:p>
        </w:tc>
        <w:tc>
          <w:tcPr>
            <w:tcW w:w="325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复议后起诉</w:t>
            </w:r>
          </w:p>
        </w:tc>
      </w:tr>
      <w:tr>
        <w:tblPrEx>
          <w:tblCellMar>
            <w:top w:w="0" w:type="dxa"/>
            <w:left w:w="0" w:type="dxa"/>
            <w:bottom w:w="0" w:type="dxa"/>
            <w:right w:w="0" w:type="dxa"/>
          </w:tblCellMar>
        </w:tblPrEx>
        <w:trPr>
          <w:jc w:val="center"/>
        </w:trPr>
        <w:tc>
          <w:tcPr>
            <w:tcW w:w="3250"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b/>
                <w:bCs/>
                <w:kern w:val="0"/>
                <w:sz w:val="24"/>
              </w:rPr>
            </w:pPr>
          </w:p>
        </w:tc>
        <w:tc>
          <w:tcPr>
            <w:tcW w:w="650"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b/>
                <w:bCs/>
                <w:kern w:val="0"/>
                <w:sz w:val="24"/>
              </w:rPr>
            </w:pPr>
          </w:p>
        </w:tc>
        <w:tc>
          <w:tcPr>
            <w:tcW w:w="65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kern w:val="0"/>
                <w:sz w:val="24"/>
              </w:rPr>
            </w:pPr>
          </w:p>
        </w:tc>
        <w:tc>
          <w:tcPr>
            <w:tcW w:w="65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kern w:val="0"/>
                <w:sz w:val="24"/>
              </w:rPr>
            </w:pPr>
          </w:p>
        </w:tc>
        <w:tc>
          <w:tcPr>
            <w:tcW w:w="65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kern w:val="0"/>
                <w:sz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结果</w:t>
            </w:r>
            <w:r>
              <w:rPr>
                <w:rFonts w:hint="eastAsia" w:ascii="宋体" w:hAnsi="宋体" w:cs="宋体"/>
                <w:b/>
                <w:bCs/>
                <w:kern w:val="0"/>
                <w:sz w:val="20"/>
                <w:szCs w:val="20"/>
              </w:rPr>
              <w:br w:type="textWrapping"/>
            </w:r>
            <w:r>
              <w:rPr>
                <w:rFonts w:hint="eastAsia" w:ascii="宋体" w:hAnsi="宋体" w:cs="宋体"/>
                <w:b/>
                <w:bCs/>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结果</w:t>
            </w:r>
            <w:r>
              <w:rPr>
                <w:rFonts w:hint="eastAsia" w:ascii="宋体" w:hAnsi="宋体" w:cs="宋体"/>
                <w:b/>
                <w:bCs/>
                <w:kern w:val="0"/>
                <w:sz w:val="20"/>
                <w:szCs w:val="20"/>
              </w:rPr>
              <w:br w:type="textWrapping"/>
            </w:r>
            <w:r>
              <w:rPr>
                <w:rFonts w:hint="eastAsia" w:ascii="宋体" w:hAnsi="宋体" w:cs="宋体"/>
                <w:b/>
                <w:bCs/>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其他</w:t>
            </w:r>
            <w:r>
              <w:rPr>
                <w:rFonts w:hint="eastAsia" w:ascii="宋体" w:hAnsi="宋体" w:cs="宋体"/>
                <w:b/>
                <w:bCs/>
                <w:kern w:val="0"/>
                <w:sz w:val="20"/>
                <w:szCs w:val="20"/>
              </w:rPr>
              <w:br w:type="textWrapping"/>
            </w:r>
            <w:r>
              <w:rPr>
                <w:rFonts w:hint="eastAsia" w:ascii="宋体" w:hAnsi="宋体" w:cs="宋体"/>
                <w:b/>
                <w:bCs/>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尚未</w:t>
            </w:r>
            <w:r>
              <w:rPr>
                <w:rFonts w:hint="eastAsia" w:ascii="宋体" w:hAnsi="宋体" w:cs="宋体"/>
                <w:b/>
                <w:bCs/>
                <w:kern w:val="0"/>
                <w:sz w:val="20"/>
                <w:szCs w:val="20"/>
              </w:rPr>
              <w:br w:type="textWrapping"/>
            </w:r>
            <w:r>
              <w:rPr>
                <w:rFonts w:hint="eastAsia" w:ascii="宋体" w:hAnsi="宋体" w:cs="宋体"/>
                <w:b/>
                <w:bCs/>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总计</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结果</w:t>
            </w:r>
            <w:r>
              <w:rPr>
                <w:rFonts w:hint="eastAsia" w:ascii="宋体" w:hAnsi="宋体" w:cs="宋体"/>
                <w:b/>
                <w:bCs/>
                <w:kern w:val="0"/>
                <w:sz w:val="20"/>
                <w:szCs w:val="20"/>
              </w:rPr>
              <w:br w:type="textWrapping"/>
            </w:r>
            <w:r>
              <w:rPr>
                <w:rFonts w:hint="eastAsia" w:ascii="宋体" w:hAnsi="宋体" w:cs="宋体"/>
                <w:b/>
                <w:bCs/>
                <w:kern w:val="0"/>
                <w:sz w:val="20"/>
                <w:szCs w:val="20"/>
              </w:rPr>
              <w:t>维持</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结果</w:t>
            </w:r>
            <w:r>
              <w:rPr>
                <w:rFonts w:hint="eastAsia" w:ascii="宋体" w:hAnsi="宋体" w:cs="宋体"/>
                <w:b/>
                <w:bCs/>
                <w:kern w:val="0"/>
                <w:sz w:val="20"/>
                <w:szCs w:val="20"/>
              </w:rPr>
              <w:br w:type="textWrapping"/>
            </w:r>
            <w:r>
              <w:rPr>
                <w:rFonts w:hint="eastAsia" w:ascii="宋体" w:hAnsi="宋体" w:cs="宋体"/>
                <w:b/>
                <w:bCs/>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其他</w:t>
            </w:r>
            <w:r>
              <w:rPr>
                <w:rFonts w:hint="eastAsia" w:ascii="宋体" w:hAnsi="宋体" w:cs="宋体"/>
                <w:b/>
                <w:bCs/>
                <w:kern w:val="0"/>
                <w:sz w:val="20"/>
                <w:szCs w:val="20"/>
              </w:rPr>
              <w:br w:type="textWrapping"/>
            </w:r>
            <w:r>
              <w:rPr>
                <w:rFonts w:hint="eastAsia" w:ascii="宋体" w:hAnsi="宋体" w:cs="宋体"/>
                <w:b/>
                <w:bCs/>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尚未</w:t>
            </w:r>
            <w:r>
              <w:rPr>
                <w:rFonts w:hint="eastAsia" w:ascii="宋体" w:hAnsi="宋体" w:cs="宋体"/>
                <w:b/>
                <w:bCs/>
                <w:kern w:val="0"/>
                <w:sz w:val="20"/>
                <w:szCs w:val="20"/>
              </w:rPr>
              <w:br w:type="textWrapping"/>
            </w:r>
            <w:r>
              <w:rPr>
                <w:rFonts w:hint="eastAsia" w:ascii="宋体" w:hAnsi="宋体" w:cs="宋体"/>
                <w:b/>
                <w:bCs/>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kern w:val="0"/>
                <w:sz w:val="24"/>
              </w:rPr>
            </w:pPr>
            <w:r>
              <w:rPr>
                <w:rFonts w:hint="eastAsia" w:ascii="宋体" w:hAnsi="宋体" w:cs="宋体"/>
                <w:b/>
                <w:bCs/>
                <w:kern w:val="0"/>
                <w:sz w:val="20"/>
                <w:szCs w:val="20"/>
              </w:rPr>
              <w:t>总计</w:t>
            </w:r>
          </w:p>
        </w:tc>
      </w:tr>
      <w:tr>
        <w:tblPrEx>
          <w:tblCellMar>
            <w:top w:w="0" w:type="dxa"/>
            <w:left w:w="0" w:type="dxa"/>
            <w:bottom w:w="0" w:type="dxa"/>
            <w:right w:w="0" w:type="dxa"/>
          </w:tblCellMar>
        </w:tblPrEx>
        <w:trPr>
          <w:trHeight w:val="672" w:hRule="atLeast"/>
          <w:jc w:val="center"/>
        </w:trPr>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kern w:val="0"/>
                <w:sz w:val="24"/>
              </w:rPr>
            </w:pPr>
            <w:r>
              <w:rPr>
                <w:rFonts w:hint="eastAsia" w:ascii="宋体" w:hAnsi="宋体" w:cs="宋体"/>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cs="宋体"/>
                <w:kern w:val="0"/>
                <w:sz w:val="24"/>
              </w:rPr>
            </w:pPr>
          </w:p>
        </w:tc>
      </w:tr>
    </w:tbl>
    <w:p>
      <w:pPr>
        <w:spacing w:line="580" w:lineRule="exact"/>
        <w:ind w:firstLine="640" w:firstLineChars="200"/>
        <w:rPr>
          <w:rFonts w:ascii="黑体" w:hAnsi="黑体" w:eastAsia="黑体"/>
          <w:sz w:val="32"/>
          <w:szCs w:val="32"/>
        </w:rPr>
      </w:pPr>
      <w:r>
        <w:rPr>
          <w:rFonts w:hint="eastAsia" w:ascii="黑体" w:hAnsi="黑体" w:eastAsia="黑体"/>
          <w:sz w:val="32"/>
          <w:szCs w:val="32"/>
        </w:rPr>
        <w:t>五、存在的问题及下一步工作打算</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我</w:t>
      </w:r>
      <w:r>
        <w:rPr>
          <w:rFonts w:hint="eastAsia" w:ascii="仿宋_GB2312" w:eastAsia="仿宋_GB2312"/>
          <w:sz w:val="32"/>
          <w:szCs w:val="32"/>
        </w:rPr>
        <w:t>局在政府信息公开方面虽然做了一定工作，但与省气象局和市委、市政府要求还有一定差距。存在的问题和不足主要表现在：一是部分领域信息覆盖不够全面，公开深度需持续扩展</w:t>
      </w:r>
      <w:r>
        <w:rPr>
          <w:rFonts w:hint="eastAsia" w:ascii="仿宋_GB2312" w:eastAsia="仿宋_GB2312"/>
          <w:sz w:val="32"/>
          <w:szCs w:val="32"/>
          <w:lang w:eastAsia="zh-CN"/>
        </w:rPr>
        <w:t>；</w:t>
      </w:r>
      <w:r>
        <w:rPr>
          <w:rFonts w:hint="eastAsia" w:ascii="仿宋_GB2312" w:eastAsia="仿宋_GB2312"/>
          <w:sz w:val="32"/>
          <w:szCs w:val="32"/>
        </w:rPr>
        <w:t>二是主动公开</w:t>
      </w:r>
      <w:r>
        <w:rPr>
          <w:rFonts w:hint="eastAsia" w:ascii="仿宋_GB2312" w:eastAsia="仿宋_GB2312"/>
          <w:sz w:val="32"/>
          <w:szCs w:val="32"/>
          <w:lang w:val="en-US" w:eastAsia="zh-CN"/>
        </w:rPr>
        <w:t>的</w:t>
      </w:r>
      <w:r>
        <w:rPr>
          <w:rFonts w:hint="eastAsia" w:ascii="仿宋_GB2312" w:eastAsia="仿宋_GB2312"/>
          <w:sz w:val="32"/>
          <w:szCs w:val="32"/>
        </w:rPr>
        <w:t>意识需要进一步强化，部分人员对政府信息公开工作重要性认识不到位；三是无专职人员从事政府信息公开工作，兼职人员能力水平有限。</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下一步，我局</w:t>
      </w:r>
      <w:r>
        <w:rPr>
          <w:rFonts w:hint="eastAsia" w:ascii="仿宋_GB2312" w:hAnsi="宋体" w:eastAsia="仿宋_GB2312" w:cs="仿宋_GB2312"/>
          <w:color w:val="000000"/>
          <w:sz w:val="32"/>
          <w:szCs w:val="32"/>
        </w:rPr>
        <w:t>将持续按照省气象局和</w:t>
      </w:r>
      <w:r>
        <w:rPr>
          <w:rFonts w:hint="eastAsia" w:ascii="仿宋_GB2312" w:eastAsia="仿宋_GB2312"/>
          <w:sz w:val="32"/>
          <w:szCs w:val="32"/>
        </w:rPr>
        <w:t>市委、市政府</w:t>
      </w:r>
      <w:r>
        <w:rPr>
          <w:rFonts w:hint="eastAsia" w:ascii="仿宋_GB2312" w:hAnsi="宋体" w:eastAsia="仿宋_GB2312" w:cs="仿宋_GB2312"/>
          <w:color w:val="000000"/>
          <w:sz w:val="32"/>
          <w:szCs w:val="32"/>
        </w:rPr>
        <w:t>对政府信息公开工作的</w:t>
      </w:r>
      <w:r>
        <w:rPr>
          <w:rFonts w:hint="eastAsia" w:ascii="仿宋_GB2312" w:hAnsi="宋体" w:eastAsia="仿宋_GB2312" w:cs="仿宋_GB2312"/>
          <w:color w:val="000000"/>
          <w:sz w:val="32"/>
          <w:szCs w:val="32"/>
          <w:lang w:val="en-US" w:eastAsia="zh-CN"/>
        </w:rPr>
        <w:t>安排</w:t>
      </w:r>
      <w:r>
        <w:rPr>
          <w:rFonts w:hint="eastAsia" w:ascii="仿宋_GB2312" w:hAnsi="宋体" w:eastAsia="仿宋_GB2312" w:cs="仿宋_GB2312"/>
          <w:color w:val="000000"/>
          <w:sz w:val="32"/>
          <w:szCs w:val="32"/>
        </w:rPr>
        <w:t>部署</w:t>
      </w:r>
      <w:r>
        <w:rPr>
          <w:rFonts w:hint="eastAsia" w:ascii="仿宋_GB2312" w:hAnsi="宋体" w:eastAsia="仿宋_GB2312" w:cs="仿宋_GB2312"/>
          <w:color w:val="000000"/>
          <w:sz w:val="32"/>
          <w:szCs w:val="32"/>
          <w:lang w:eastAsia="zh-CN"/>
        </w:rPr>
        <w:t>，</w:t>
      </w:r>
      <w:r>
        <w:rPr>
          <w:rFonts w:hint="eastAsia" w:ascii="仿宋_GB2312" w:hAnsi="宋体" w:eastAsia="仿宋_GB2312" w:cs="仿宋_GB2312"/>
          <w:color w:val="000000"/>
          <w:sz w:val="32"/>
          <w:szCs w:val="32"/>
        </w:rPr>
        <w:t>切实履行政府信息公开条例要求，进一步完善</w:t>
      </w:r>
      <w:r>
        <w:rPr>
          <w:rFonts w:hint="eastAsia" w:ascii="仿宋_GB2312" w:hAnsi="宋体" w:eastAsia="仿宋_GB2312" w:cs="仿宋_GB2312"/>
          <w:color w:val="000000"/>
          <w:sz w:val="32"/>
          <w:szCs w:val="32"/>
          <w:lang w:val="en-US" w:eastAsia="zh-CN"/>
        </w:rPr>
        <w:t>制度</w:t>
      </w:r>
      <w:r>
        <w:rPr>
          <w:rFonts w:hint="eastAsia" w:ascii="仿宋_GB2312" w:hAnsi="宋体" w:eastAsia="仿宋_GB2312" w:cs="仿宋_GB2312"/>
          <w:color w:val="000000"/>
          <w:sz w:val="32"/>
          <w:szCs w:val="32"/>
        </w:rPr>
        <w:t>机制，积极开展相关业务培训，坚持以</w:t>
      </w:r>
      <w:r>
        <w:rPr>
          <w:rFonts w:hint="eastAsia" w:ascii="仿宋_GB2312" w:hAnsi="仿宋_GB2312" w:eastAsia="仿宋_GB2312" w:cs="仿宋_GB2312"/>
          <w:kern w:val="0"/>
          <w:sz w:val="32"/>
          <w:szCs w:val="32"/>
          <w:shd w:val="clear" w:color="auto" w:fill="FFFFFF"/>
        </w:rPr>
        <w:t>天气预报预警</w:t>
      </w:r>
      <w:r>
        <w:rPr>
          <w:rFonts w:hint="eastAsia" w:ascii="仿宋_GB2312" w:hAnsi="宋体" w:eastAsia="仿宋_GB2312" w:cs="仿宋_GB2312"/>
          <w:color w:val="000000"/>
          <w:sz w:val="32"/>
          <w:szCs w:val="32"/>
        </w:rPr>
        <w:t>、气象行政审批为重点，努力满足社会各界对气象部门政府信息的需求，为社会公众提供准确及时的信息服务。</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六、其他需要报告事项</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80" w:lineRule="exact"/>
        <w:ind w:firstLine="3465" w:firstLineChars="1650"/>
      </w:pPr>
      <w:r>
        <w:t xml:space="preserve">                           </w:t>
      </w:r>
      <w:r>
        <w:rPr>
          <w:rFonts w:hint="eastAsia"/>
        </w:rPr>
        <w:t xml:space="preserve">                 </w:t>
      </w:r>
      <w:bookmarkStart w:id="0" w:name="_GoBack"/>
      <w:bookmarkEnd w:id="0"/>
    </w:p>
    <w:sectPr>
      <w:footerReference r:id="rId5" w:type="default"/>
      <w:pgSz w:w="11906" w:h="16838"/>
      <w:pgMar w:top="2098" w:right="1474" w:bottom="1985" w:left="1588" w:header="851" w:footer="1446"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6"/>
        <w:rFonts w:ascii="宋体" w:cs="宋体"/>
        <w:sz w:val="28"/>
        <w:szCs w:val="28"/>
      </w:rPr>
    </w:pPr>
    <w:r>
      <w:rPr>
        <w:rStyle w:val="6"/>
        <w:rFonts w:ascii="宋体" w:hAnsi="宋体" w:cs="宋体"/>
        <w:sz w:val="28"/>
        <w:szCs w:val="28"/>
      </w:rPr>
      <w:t xml:space="preserve">— </w:t>
    </w:r>
    <w:r>
      <w:rPr>
        <w:rStyle w:val="6"/>
        <w:rFonts w:ascii="宋体" w:hAnsi="宋体" w:cs="宋体"/>
        <w:sz w:val="28"/>
        <w:szCs w:val="28"/>
      </w:rPr>
      <w:fldChar w:fldCharType="begin"/>
    </w:r>
    <w:r>
      <w:rPr>
        <w:rStyle w:val="6"/>
        <w:rFonts w:ascii="宋体" w:hAnsi="宋体" w:cs="宋体"/>
        <w:sz w:val="28"/>
        <w:szCs w:val="28"/>
      </w:rPr>
      <w:instrText xml:space="preserve">PAGE  </w:instrText>
    </w:r>
    <w:r>
      <w:rPr>
        <w:rStyle w:val="6"/>
        <w:rFonts w:ascii="宋体" w:hAnsi="宋体" w:cs="宋体"/>
        <w:sz w:val="28"/>
        <w:szCs w:val="28"/>
      </w:rPr>
      <w:fldChar w:fldCharType="separate"/>
    </w:r>
    <w:r>
      <w:rPr>
        <w:rStyle w:val="6"/>
        <w:rFonts w:ascii="宋体" w:hAnsi="宋体" w:cs="宋体"/>
        <w:sz w:val="28"/>
        <w:szCs w:val="28"/>
      </w:rPr>
      <w:t>2</w:t>
    </w:r>
    <w:r>
      <w:rPr>
        <w:rStyle w:val="6"/>
        <w:rFonts w:ascii="宋体" w:hAnsi="宋体" w:cs="宋体"/>
        <w:sz w:val="28"/>
        <w:szCs w:val="28"/>
      </w:rPr>
      <w:fldChar w:fldCharType="end"/>
    </w:r>
    <w:r>
      <w:rPr>
        <w:rStyle w:val="6"/>
        <w:rFonts w:ascii="宋体" w:hAnsi="宋体" w:cs="宋体"/>
        <w:sz w:val="28"/>
        <w:szCs w:val="28"/>
      </w:rPr>
      <w:t xml:space="preserve"> —</w:t>
    </w:r>
  </w:p>
  <w:p>
    <w:pPr>
      <w:pStyle w:val="2"/>
      <w:ind w:right="360" w:firstLine="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300838"/>
    <w:rsid w:val="000052C0"/>
    <w:rsid w:val="0000676A"/>
    <w:rsid w:val="00013662"/>
    <w:rsid w:val="000138F9"/>
    <w:rsid w:val="000141E9"/>
    <w:rsid w:val="00021083"/>
    <w:rsid w:val="00027CCD"/>
    <w:rsid w:val="000847BD"/>
    <w:rsid w:val="00086976"/>
    <w:rsid w:val="00093E4C"/>
    <w:rsid w:val="000949AD"/>
    <w:rsid w:val="00095710"/>
    <w:rsid w:val="000A4AC5"/>
    <w:rsid w:val="000A57E9"/>
    <w:rsid w:val="000D0969"/>
    <w:rsid w:val="000D1F10"/>
    <w:rsid w:val="000F3B76"/>
    <w:rsid w:val="00107184"/>
    <w:rsid w:val="00107490"/>
    <w:rsid w:val="00107815"/>
    <w:rsid w:val="00114E0A"/>
    <w:rsid w:val="001233C1"/>
    <w:rsid w:val="00123836"/>
    <w:rsid w:val="00130E7E"/>
    <w:rsid w:val="00150B98"/>
    <w:rsid w:val="00155CDF"/>
    <w:rsid w:val="00157C16"/>
    <w:rsid w:val="00173F25"/>
    <w:rsid w:val="00177891"/>
    <w:rsid w:val="00180240"/>
    <w:rsid w:val="001842DB"/>
    <w:rsid w:val="0019167C"/>
    <w:rsid w:val="001C00DD"/>
    <w:rsid w:val="001C4726"/>
    <w:rsid w:val="001D196F"/>
    <w:rsid w:val="001E287E"/>
    <w:rsid w:val="001F0209"/>
    <w:rsid w:val="001F2CF3"/>
    <w:rsid w:val="00222BD0"/>
    <w:rsid w:val="00223813"/>
    <w:rsid w:val="00233FE8"/>
    <w:rsid w:val="00243F2F"/>
    <w:rsid w:val="00251AC2"/>
    <w:rsid w:val="00251B26"/>
    <w:rsid w:val="0025287B"/>
    <w:rsid w:val="00253052"/>
    <w:rsid w:val="002541E7"/>
    <w:rsid w:val="00255D79"/>
    <w:rsid w:val="002776AD"/>
    <w:rsid w:val="00286DE7"/>
    <w:rsid w:val="0029158C"/>
    <w:rsid w:val="0029743B"/>
    <w:rsid w:val="002A57E2"/>
    <w:rsid w:val="002B4BDC"/>
    <w:rsid w:val="002B64B6"/>
    <w:rsid w:val="002D6D79"/>
    <w:rsid w:val="002F50A2"/>
    <w:rsid w:val="00300838"/>
    <w:rsid w:val="00301EFD"/>
    <w:rsid w:val="0030421E"/>
    <w:rsid w:val="00312DA2"/>
    <w:rsid w:val="003148D7"/>
    <w:rsid w:val="00322F9E"/>
    <w:rsid w:val="0032446A"/>
    <w:rsid w:val="00324CF3"/>
    <w:rsid w:val="00324F66"/>
    <w:rsid w:val="00332E65"/>
    <w:rsid w:val="003511BD"/>
    <w:rsid w:val="003514FC"/>
    <w:rsid w:val="003671C3"/>
    <w:rsid w:val="003700AA"/>
    <w:rsid w:val="003726DD"/>
    <w:rsid w:val="00396437"/>
    <w:rsid w:val="003A72A0"/>
    <w:rsid w:val="003B0422"/>
    <w:rsid w:val="003C0407"/>
    <w:rsid w:val="003C1999"/>
    <w:rsid w:val="003D1E65"/>
    <w:rsid w:val="003D2FF8"/>
    <w:rsid w:val="003D764B"/>
    <w:rsid w:val="003E34A0"/>
    <w:rsid w:val="003E355A"/>
    <w:rsid w:val="003F25CA"/>
    <w:rsid w:val="00401E81"/>
    <w:rsid w:val="00407633"/>
    <w:rsid w:val="0041547E"/>
    <w:rsid w:val="00416AB5"/>
    <w:rsid w:val="004209E5"/>
    <w:rsid w:val="00424A7B"/>
    <w:rsid w:val="00425F7B"/>
    <w:rsid w:val="004264BE"/>
    <w:rsid w:val="004334BE"/>
    <w:rsid w:val="00444269"/>
    <w:rsid w:val="00446F9E"/>
    <w:rsid w:val="00460BFC"/>
    <w:rsid w:val="00474460"/>
    <w:rsid w:val="0048337D"/>
    <w:rsid w:val="00483BCC"/>
    <w:rsid w:val="00485453"/>
    <w:rsid w:val="00496059"/>
    <w:rsid w:val="004B4239"/>
    <w:rsid w:val="004C1914"/>
    <w:rsid w:val="004E4A16"/>
    <w:rsid w:val="00521AD7"/>
    <w:rsid w:val="005222BC"/>
    <w:rsid w:val="00540B77"/>
    <w:rsid w:val="005413CF"/>
    <w:rsid w:val="005544F0"/>
    <w:rsid w:val="00557CF9"/>
    <w:rsid w:val="00561D66"/>
    <w:rsid w:val="005812FA"/>
    <w:rsid w:val="005877D4"/>
    <w:rsid w:val="00590A14"/>
    <w:rsid w:val="005A5821"/>
    <w:rsid w:val="005C3630"/>
    <w:rsid w:val="005E7E26"/>
    <w:rsid w:val="005F5BA2"/>
    <w:rsid w:val="00602D31"/>
    <w:rsid w:val="006247DB"/>
    <w:rsid w:val="00624F28"/>
    <w:rsid w:val="006333AF"/>
    <w:rsid w:val="006404EC"/>
    <w:rsid w:val="006415C6"/>
    <w:rsid w:val="00650C2B"/>
    <w:rsid w:val="00650F85"/>
    <w:rsid w:val="006571B2"/>
    <w:rsid w:val="006873D5"/>
    <w:rsid w:val="00693C6F"/>
    <w:rsid w:val="0069791B"/>
    <w:rsid w:val="006A21BF"/>
    <w:rsid w:val="006A29C0"/>
    <w:rsid w:val="006A4DF4"/>
    <w:rsid w:val="006B03CE"/>
    <w:rsid w:val="006C367C"/>
    <w:rsid w:val="006C78EF"/>
    <w:rsid w:val="006D57F2"/>
    <w:rsid w:val="006E014D"/>
    <w:rsid w:val="006E09F6"/>
    <w:rsid w:val="006E7584"/>
    <w:rsid w:val="007039D8"/>
    <w:rsid w:val="007072F9"/>
    <w:rsid w:val="00711FC7"/>
    <w:rsid w:val="00726916"/>
    <w:rsid w:val="00732CB9"/>
    <w:rsid w:val="00735772"/>
    <w:rsid w:val="0075071B"/>
    <w:rsid w:val="00756353"/>
    <w:rsid w:val="0075637E"/>
    <w:rsid w:val="00760468"/>
    <w:rsid w:val="00767017"/>
    <w:rsid w:val="00776CEA"/>
    <w:rsid w:val="00786722"/>
    <w:rsid w:val="00790FB5"/>
    <w:rsid w:val="007A204D"/>
    <w:rsid w:val="007B797B"/>
    <w:rsid w:val="007C572A"/>
    <w:rsid w:val="007D2977"/>
    <w:rsid w:val="007D473D"/>
    <w:rsid w:val="00803112"/>
    <w:rsid w:val="0081526E"/>
    <w:rsid w:val="00815CBA"/>
    <w:rsid w:val="008241A8"/>
    <w:rsid w:val="008448C3"/>
    <w:rsid w:val="00845BAB"/>
    <w:rsid w:val="00854275"/>
    <w:rsid w:val="00862943"/>
    <w:rsid w:val="008701A3"/>
    <w:rsid w:val="008746AC"/>
    <w:rsid w:val="00876CBC"/>
    <w:rsid w:val="00891A4F"/>
    <w:rsid w:val="008C3225"/>
    <w:rsid w:val="008D44BA"/>
    <w:rsid w:val="008D746F"/>
    <w:rsid w:val="008E495A"/>
    <w:rsid w:val="00904A4F"/>
    <w:rsid w:val="00920007"/>
    <w:rsid w:val="00922D36"/>
    <w:rsid w:val="00923C88"/>
    <w:rsid w:val="00926DFD"/>
    <w:rsid w:val="0093159B"/>
    <w:rsid w:val="009417F0"/>
    <w:rsid w:val="00950A77"/>
    <w:rsid w:val="00966202"/>
    <w:rsid w:val="00966D48"/>
    <w:rsid w:val="009747CF"/>
    <w:rsid w:val="009851A8"/>
    <w:rsid w:val="00996DCF"/>
    <w:rsid w:val="00996E35"/>
    <w:rsid w:val="009A77B5"/>
    <w:rsid w:val="009C3958"/>
    <w:rsid w:val="009C4FF5"/>
    <w:rsid w:val="009D4C48"/>
    <w:rsid w:val="009D6346"/>
    <w:rsid w:val="009F4691"/>
    <w:rsid w:val="009F5C6A"/>
    <w:rsid w:val="009F5F96"/>
    <w:rsid w:val="009F6606"/>
    <w:rsid w:val="00A03E86"/>
    <w:rsid w:val="00A07899"/>
    <w:rsid w:val="00A14769"/>
    <w:rsid w:val="00A20D02"/>
    <w:rsid w:val="00A23011"/>
    <w:rsid w:val="00A324A2"/>
    <w:rsid w:val="00A4472A"/>
    <w:rsid w:val="00A4749A"/>
    <w:rsid w:val="00A62AB5"/>
    <w:rsid w:val="00A6718F"/>
    <w:rsid w:val="00A75B85"/>
    <w:rsid w:val="00A80FAD"/>
    <w:rsid w:val="00A81717"/>
    <w:rsid w:val="00A851BA"/>
    <w:rsid w:val="00A95A06"/>
    <w:rsid w:val="00AA6219"/>
    <w:rsid w:val="00AB1F67"/>
    <w:rsid w:val="00AD5310"/>
    <w:rsid w:val="00AD7969"/>
    <w:rsid w:val="00AE0090"/>
    <w:rsid w:val="00AE176F"/>
    <w:rsid w:val="00AE3589"/>
    <w:rsid w:val="00AF1A05"/>
    <w:rsid w:val="00B01E1D"/>
    <w:rsid w:val="00B01FFE"/>
    <w:rsid w:val="00B06473"/>
    <w:rsid w:val="00B100E4"/>
    <w:rsid w:val="00B24773"/>
    <w:rsid w:val="00B27451"/>
    <w:rsid w:val="00B44EA0"/>
    <w:rsid w:val="00B65565"/>
    <w:rsid w:val="00B81B34"/>
    <w:rsid w:val="00B84AEA"/>
    <w:rsid w:val="00B85590"/>
    <w:rsid w:val="00B861B3"/>
    <w:rsid w:val="00B90A52"/>
    <w:rsid w:val="00BB07B8"/>
    <w:rsid w:val="00BB340E"/>
    <w:rsid w:val="00BB347B"/>
    <w:rsid w:val="00BB4361"/>
    <w:rsid w:val="00BB69FB"/>
    <w:rsid w:val="00BD42E7"/>
    <w:rsid w:val="00BF2105"/>
    <w:rsid w:val="00BF68AA"/>
    <w:rsid w:val="00C0300D"/>
    <w:rsid w:val="00C15ED3"/>
    <w:rsid w:val="00C30D80"/>
    <w:rsid w:val="00C37666"/>
    <w:rsid w:val="00C46560"/>
    <w:rsid w:val="00C51C3C"/>
    <w:rsid w:val="00C55C83"/>
    <w:rsid w:val="00C731A6"/>
    <w:rsid w:val="00C8156B"/>
    <w:rsid w:val="00CA1F32"/>
    <w:rsid w:val="00CA765D"/>
    <w:rsid w:val="00CB11F3"/>
    <w:rsid w:val="00CC5724"/>
    <w:rsid w:val="00CC6C30"/>
    <w:rsid w:val="00CC6FEF"/>
    <w:rsid w:val="00CD1729"/>
    <w:rsid w:val="00CE4F0B"/>
    <w:rsid w:val="00CE50E7"/>
    <w:rsid w:val="00CF743B"/>
    <w:rsid w:val="00D03918"/>
    <w:rsid w:val="00D15C71"/>
    <w:rsid w:val="00D24BD4"/>
    <w:rsid w:val="00D2598F"/>
    <w:rsid w:val="00D32422"/>
    <w:rsid w:val="00D36769"/>
    <w:rsid w:val="00D47C6A"/>
    <w:rsid w:val="00D55B89"/>
    <w:rsid w:val="00D643A7"/>
    <w:rsid w:val="00D83BAD"/>
    <w:rsid w:val="00D938FB"/>
    <w:rsid w:val="00D961BE"/>
    <w:rsid w:val="00DB165B"/>
    <w:rsid w:val="00DC1708"/>
    <w:rsid w:val="00DC1BD0"/>
    <w:rsid w:val="00DD473F"/>
    <w:rsid w:val="00DD5111"/>
    <w:rsid w:val="00DE3DFE"/>
    <w:rsid w:val="00DF74F7"/>
    <w:rsid w:val="00E35E9F"/>
    <w:rsid w:val="00E37992"/>
    <w:rsid w:val="00E75136"/>
    <w:rsid w:val="00E76AB7"/>
    <w:rsid w:val="00E77410"/>
    <w:rsid w:val="00E80EA3"/>
    <w:rsid w:val="00E82CE5"/>
    <w:rsid w:val="00EA3BBD"/>
    <w:rsid w:val="00EA3E43"/>
    <w:rsid w:val="00EB4EE6"/>
    <w:rsid w:val="00F018A0"/>
    <w:rsid w:val="00F05C80"/>
    <w:rsid w:val="00F05ED5"/>
    <w:rsid w:val="00F1295E"/>
    <w:rsid w:val="00F23BBE"/>
    <w:rsid w:val="00F64D33"/>
    <w:rsid w:val="00F7510A"/>
    <w:rsid w:val="00F93653"/>
    <w:rsid w:val="00FA1323"/>
    <w:rsid w:val="00FA3C37"/>
    <w:rsid w:val="00FC1B38"/>
    <w:rsid w:val="00FD470B"/>
    <w:rsid w:val="00FE1E87"/>
    <w:rsid w:val="00FE2AE2"/>
    <w:rsid w:val="00FF25C9"/>
    <w:rsid w:val="0BC77B70"/>
    <w:rsid w:val="1C135997"/>
    <w:rsid w:val="30301148"/>
    <w:rsid w:val="34242D71"/>
    <w:rsid w:val="35E44BE1"/>
    <w:rsid w:val="3A812CCC"/>
    <w:rsid w:val="43222B72"/>
    <w:rsid w:val="45285368"/>
    <w:rsid w:val="60DB582B"/>
    <w:rsid w:val="65703371"/>
    <w:rsid w:val="66B6661A"/>
    <w:rsid w:val="7F5E5495"/>
    <w:rsid w:val="FFF9A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80" w:lineRule="exact"/>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spacing w:line="240" w:lineRule="auto"/>
      <w:jc w:val="left"/>
    </w:pPr>
    <w:rPr>
      <w:rFonts w:ascii="Calibri" w:hAnsi="Calibri" w:cs="Calibri"/>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6">
    <w:name w:val="page number"/>
    <w:basedOn w:val="5"/>
    <w:qFormat/>
    <w:uiPriority w:val="99"/>
  </w:style>
  <w:style w:type="character" w:customStyle="1" w:styleId="7">
    <w:name w:val="页脚 Char"/>
    <w:basedOn w:val="5"/>
    <w:link w:val="2"/>
    <w:qFormat/>
    <w:uiPriority w:val="99"/>
    <w:rPr>
      <w:rFonts w:ascii="Calibri" w:hAnsi="Calibri" w:cs="Calibri"/>
      <w:kern w:val="2"/>
      <w:sz w:val="18"/>
      <w:szCs w:val="18"/>
    </w:rPr>
  </w:style>
  <w:style w:type="character" w:customStyle="1" w:styleId="8">
    <w:name w:val="页眉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武威市气象局</Company>
  <Pages>6</Pages>
  <Words>2116</Words>
  <Characters>2180</Characters>
  <Lines>17</Lines>
  <Paragraphs>5</Paragraphs>
  <TotalTime>28</TotalTime>
  <ScaleCrop>false</ScaleCrop>
  <LinksUpToDate>false</LinksUpToDate>
  <CharactersWithSpaces>2264</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2022-01-10T10:13:00Z</dcterms:created>
  <dc:creator>NTKO</dc:creator>
  <cp:lastModifiedBy>康景芬</cp:lastModifiedBy>
  <cp:lastPrinted>2024-01-16T18:05:00Z</cp:lastPrinted>
  <dcterms:modified xsi:type="dcterms:W3CDTF">2025-01-16T10:16:17Z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eyJoZGlkIjoiMTI1MWRhNDYwM2RmYzlmNjFlODA0ZmYyZDBjYzRmYmUiLCJ1c2VySWQiOiI1NDkzMTg3NTEifQ==</vt:lpwstr>
  </property>
  <property fmtid="{D5CDD505-2E9C-101B-9397-08002B2CF9AE}" pid="3" name="KSOProductBuildVer">
    <vt:lpwstr>2052-11.8.2.12313</vt:lpwstr>
  </property>
  <property fmtid="{D5CDD505-2E9C-101B-9397-08002B2CF9AE}" pid="4" name="ICV">
    <vt:lpwstr>CB1CB69BD6B94D8AA5AF1D48CF71F6F2_12</vt:lpwstr>
  </property>
</Properties>
</file>