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_GBK" w:eastAsia="方正小标宋简体" w:cs="方正小标宋_GBK"/>
          <w:bCs/>
          <w:color w:val="auto"/>
          <w:sz w:val="44"/>
          <w:szCs w:val="44"/>
          <w:lang w:val="en-US" w:eastAsia="zh-CN"/>
        </w:rPr>
      </w:pPr>
      <w:r>
        <w:rPr>
          <w:rFonts w:hint="eastAsia" w:ascii="方正小标宋简体" w:hAnsi="方正小标宋_GBK" w:eastAsia="方正小标宋简体" w:cs="方正小标宋_GBK"/>
          <w:bCs/>
          <w:color w:val="auto"/>
          <w:sz w:val="44"/>
          <w:szCs w:val="44"/>
        </w:rPr>
        <w:t>甘肃省平凉市气象</w:t>
      </w:r>
      <w:r>
        <w:rPr>
          <w:rFonts w:hint="eastAsia" w:ascii="方正小标宋简体" w:hAnsi="方正小标宋_GBK" w:eastAsia="方正小标宋简体" w:cs="方正小标宋_GBK"/>
          <w:bCs/>
          <w:color w:val="auto"/>
          <w:sz w:val="44"/>
          <w:szCs w:val="44"/>
          <w:lang w:val="en-US" w:eastAsia="zh-CN"/>
        </w:rPr>
        <w:t>局</w:t>
      </w:r>
    </w:p>
    <w:p>
      <w:pPr>
        <w:spacing w:line="560" w:lineRule="exact"/>
        <w:jc w:val="center"/>
        <w:rPr>
          <w:rFonts w:ascii="方正小标宋简体" w:hAnsi="方正小标宋_GBK" w:eastAsia="方正小标宋简体" w:cs="方正小标宋_GBK"/>
          <w:bCs/>
          <w:color w:val="auto"/>
          <w:sz w:val="44"/>
          <w:szCs w:val="44"/>
        </w:rPr>
      </w:pPr>
      <w:r>
        <w:rPr>
          <w:rFonts w:ascii="方正小标宋简体" w:hAnsi="方正小标宋_GBK" w:eastAsia="方正小标宋简体" w:cs="方正小标宋_GBK"/>
          <w:bCs/>
          <w:color w:val="auto"/>
          <w:sz w:val="44"/>
          <w:szCs w:val="44"/>
        </w:rPr>
        <w:t>20</w:t>
      </w:r>
      <w:r>
        <w:rPr>
          <w:rFonts w:hint="eastAsia" w:ascii="方正小标宋简体" w:hAnsi="方正小标宋_GBK" w:eastAsia="方正小标宋简体" w:cs="方正小标宋_GBK"/>
          <w:bCs/>
          <w:color w:val="auto"/>
          <w:sz w:val="44"/>
          <w:szCs w:val="44"/>
        </w:rPr>
        <w:t>2</w:t>
      </w:r>
      <w:r>
        <w:rPr>
          <w:rFonts w:hint="eastAsia" w:ascii="方正小标宋简体" w:hAnsi="方正小标宋_GBK" w:eastAsia="方正小标宋简体" w:cs="方正小标宋_GBK"/>
          <w:bCs/>
          <w:color w:val="auto"/>
          <w:sz w:val="44"/>
          <w:szCs w:val="44"/>
          <w:lang w:val="en-US" w:eastAsia="zh-CN"/>
        </w:rPr>
        <w:t>3</w:t>
      </w:r>
      <w:r>
        <w:rPr>
          <w:rFonts w:ascii="方正小标宋简体" w:hAnsi="方正小标宋_GBK" w:eastAsia="方正小标宋简体" w:cs="方正小标宋_GBK"/>
          <w:bCs/>
          <w:color w:val="auto"/>
          <w:sz w:val="44"/>
          <w:szCs w:val="44"/>
        </w:rPr>
        <w:t>年政府信息公开</w:t>
      </w:r>
      <w:r>
        <w:rPr>
          <w:rFonts w:hint="eastAsia" w:ascii="方正小标宋简体" w:hAnsi="方正小标宋_GBK" w:eastAsia="方正小标宋简体" w:cs="方正小标宋_GBK"/>
          <w:bCs/>
          <w:color w:val="auto"/>
          <w:sz w:val="44"/>
          <w:szCs w:val="44"/>
        </w:rPr>
        <w:t>工作年度报告</w:t>
      </w:r>
    </w:p>
    <w:p>
      <w:pPr>
        <w:spacing w:line="560" w:lineRule="exact"/>
        <w:jc w:val="center"/>
        <w:rPr>
          <w:rFonts w:ascii="仿宋_GB2312" w:hAnsi="仿宋_GB2312" w:eastAsia="仿宋_GB2312" w:cs="仿宋_GB2312"/>
          <w:bCs/>
          <w:color w:val="auto"/>
          <w:sz w:val="32"/>
          <w:szCs w:val="32"/>
        </w:rPr>
      </w:pPr>
    </w:p>
    <w:p>
      <w:pPr>
        <w:widowControl/>
        <w:shd w:val="clear" w:color="auto" w:fill="FFFFFF"/>
        <w:spacing w:line="560" w:lineRule="exact"/>
        <w:ind w:firstLine="640" w:firstLineChars="200"/>
        <w:rPr>
          <w:rFonts w:ascii="黑体" w:hAnsi="黑体" w:eastAsia="黑体" w:cs="黑体"/>
          <w:color w:val="auto"/>
          <w:kern w:val="0"/>
          <w:sz w:val="32"/>
          <w:szCs w:val="32"/>
        </w:rPr>
      </w:pPr>
      <w:r>
        <w:rPr>
          <w:rFonts w:hint="eastAsia" w:ascii="仿宋_GB2312" w:hAnsi="Times New Roman" w:eastAsia="仿宋_GB2312"/>
          <w:color w:val="auto"/>
          <w:sz w:val="32"/>
          <w:szCs w:val="32"/>
        </w:rPr>
        <w:t>本年度报告由政务公开工作总体情况、主动公开政府信息情况、收到和处理政府信息公开申请情况、政府信息公开行政复议、行政诉讼情况、</w:t>
      </w:r>
      <w:bookmarkStart w:id="0" w:name="_GoBack"/>
      <w:bookmarkEnd w:id="0"/>
      <w:r>
        <w:rPr>
          <w:rFonts w:hint="eastAsia" w:ascii="仿宋_GB2312" w:hAnsi="Times New Roman" w:eastAsia="仿宋_GB2312"/>
          <w:color w:val="auto"/>
          <w:sz w:val="32"/>
          <w:szCs w:val="32"/>
        </w:rPr>
        <w:t>政府信息公开工作存在的主要问题及改进情况、其他需要报告的事项六部分组成，报告中所列数据统计期限为202</w:t>
      </w:r>
      <w:r>
        <w:rPr>
          <w:rFonts w:hint="eastAsia" w:ascii="仿宋_GB2312" w:hAnsi="Times New Roman" w:eastAsia="仿宋_GB2312"/>
          <w:color w:val="auto"/>
          <w:sz w:val="32"/>
          <w:szCs w:val="32"/>
          <w:lang w:val="en-US" w:eastAsia="zh-CN"/>
        </w:rPr>
        <w:t>3</w:t>
      </w:r>
      <w:r>
        <w:rPr>
          <w:rFonts w:hint="eastAsia" w:ascii="仿宋_GB2312" w:hAnsi="Times New Roman" w:eastAsia="仿宋_GB2312"/>
          <w:color w:val="auto"/>
          <w:sz w:val="32"/>
          <w:szCs w:val="32"/>
        </w:rPr>
        <w:t>年1月1日至202</w:t>
      </w:r>
      <w:r>
        <w:rPr>
          <w:rFonts w:hint="eastAsia" w:ascii="仿宋_GB2312" w:hAnsi="Times New Roman" w:eastAsia="仿宋_GB2312"/>
          <w:color w:val="auto"/>
          <w:sz w:val="32"/>
          <w:szCs w:val="32"/>
          <w:lang w:val="en-US" w:eastAsia="zh-CN"/>
        </w:rPr>
        <w:t>3</w:t>
      </w:r>
      <w:r>
        <w:rPr>
          <w:rFonts w:hint="eastAsia" w:ascii="仿宋_GB2312" w:hAnsi="Times New Roman" w:eastAsia="仿宋_GB2312"/>
          <w:color w:val="auto"/>
          <w:sz w:val="32"/>
          <w:szCs w:val="32"/>
        </w:rPr>
        <w:t>年12月31日。</w:t>
      </w:r>
    </w:p>
    <w:p>
      <w:pPr>
        <w:widowControl/>
        <w:shd w:val="clear" w:color="auto" w:fill="FFFFFF"/>
        <w:spacing w:line="560" w:lineRule="exact"/>
        <w:ind w:firstLine="640" w:firstLineChars="200"/>
        <w:rPr>
          <w:rFonts w:ascii="黑体" w:hAnsi="黑体" w:eastAsia="黑体" w:cs="黑体"/>
          <w:color w:val="auto"/>
          <w:kern w:val="0"/>
          <w:sz w:val="32"/>
          <w:szCs w:val="32"/>
        </w:rPr>
      </w:pPr>
      <w:r>
        <w:rPr>
          <w:rFonts w:hint="eastAsia" w:ascii="黑体" w:hAnsi="黑体" w:eastAsia="黑体" w:cs="黑体"/>
          <w:color w:val="auto"/>
          <w:kern w:val="0"/>
          <w:sz w:val="32"/>
          <w:szCs w:val="32"/>
        </w:rPr>
        <w:t>一、总体情况</w:t>
      </w:r>
    </w:p>
    <w:p>
      <w:pPr>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平凉市气象局在省气象局和市委、市政府的坚强领导下，以习近平新时代中国特色社会主义思想为指导，进一步深化政府信息公开工作完善。按照国务院办公厅、市政府、省气象局的统一部署，结合实际，紧紧围绕全市气象部门中心工作和公众对气象工作的关切，不断增强气象部门政府信息公开实效，规范公开程序，丰富公开内容，切实做好气象部门政府信息公开工作。平凉局202</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年通过甘肃省气象局门户网站、平凉市人民政府网站局官网主动公开各类信息</w:t>
      </w:r>
      <w:r>
        <w:rPr>
          <w:rFonts w:hint="eastAsia" w:ascii="仿宋_GB2312" w:hAnsi="仿宋_GB2312" w:eastAsia="仿宋_GB2312" w:cs="仿宋_GB2312"/>
          <w:color w:val="auto"/>
          <w:kern w:val="0"/>
          <w:sz w:val="32"/>
          <w:szCs w:val="32"/>
          <w:lang w:val="en-US" w:eastAsia="zh-CN"/>
        </w:rPr>
        <w:t>130</w:t>
      </w:r>
      <w:r>
        <w:rPr>
          <w:rFonts w:hint="eastAsia" w:ascii="仿宋_GB2312" w:hAnsi="仿宋_GB2312" w:eastAsia="仿宋_GB2312" w:cs="仿宋_GB2312"/>
          <w:color w:val="auto"/>
          <w:kern w:val="0"/>
          <w:sz w:val="32"/>
          <w:szCs w:val="32"/>
        </w:rPr>
        <w:t>余条，向市委市政府报送信息</w:t>
      </w:r>
      <w:r>
        <w:rPr>
          <w:rFonts w:hint="eastAsia" w:ascii="仿宋_GB2312" w:hAnsi="仿宋_GB2312" w:eastAsia="仿宋_GB2312" w:cs="仿宋_GB2312"/>
          <w:color w:val="auto"/>
          <w:kern w:val="0"/>
          <w:sz w:val="32"/>
          <w:szCs w:val="32"/>
          <w:lang w:val="en-US" w:eastAsia="zh-CN"/>
        </w:rPr>
        <w:t>364</w:t>
      </w:r>
      <w:r>
        <w:rPr>
          <w:rFonts w:hint="eastAsia" w:ascii="仿宋_GB2312" w:hAnsi="仿宋_GB2312" w:eastAsia="仿宋_GB2312" w:cs="仿宋_GB2312"/>
          <w:color w:val="auto"/>
          <w:kern w:val="0"/>
          <w:sz w:val="32"/>
          <w:szCs w:val="32"/>
        </w:rPr>
        <w:t>条。</w:t>
      </w:r>
      <w:r>
        <w:rPr>
          <w:rFonts w:ascii="Times New Roman" w:hAnsi="Times New Roman" w:eastAsia="仿宋_GB2312"/>
          <w:color w:val="auto"/>
          <w:sz w:val="32"/>
        </w:rPr>
        <w:t>接受</w:t>
      </w:r>
      <w:r>
        <w:rPr>
          <w:rFonts w:hint="eastAsia" w:ascii="Times New Roman" w:hAnsi="Times New Roman" w:eastAsia="仿宋_GB2312"/>
          <w:color w:val="auto"/>
          <w:sz w:val="32"/>
        </w:rPr>
        <w:t>平凉日报</w:t>
      </w:r>
      <w:r>
        <w:rPr>
          <w:rFonts w:ascii="Times New Roman" w:hAnsi="Times New Roman" w:eastAsia="仿宋_GB2312"/>
          <w:color w:val="auto"/>
          <w:sz w:val="32"/>
        </w:rPr>
        <w:t>、</w:t>
      </w:r>
      <w:r>
        <w:rPr>
          <w:rFonts w:hint="eastAsia" w:ascii="Times New Roman" w:hAnsi="Times New Roman" w:eastAsia="仿宋_GB2312"/>
          <w:color w:val="auto"/>
          <w:sz w:val="32"/>
        </w:rPr>
        <w:t>平凉电视台</w:t>
      </w:r>
      <w:r>
        <w:rPr>
          <w:rFonts w:ascii="Times New Roman" w:hAnsi="Times New Roman" w:eastAsia="仿宋_GB2312"/>
          <w:color w:val="auto"/>
          <w:sz w:val="32"/>
        </w:rPr>
        <w:t>等</w:t>
      </w:r>
      <w:r>
        <w:rPr>
          <w:rFonts w:hint="eastAsia" w:ascii="Times New Roman" w:hAnsi="Times New Roman" w:eastAsia="仿宋_GB2312"/>
          <w:color w:val="auto"/>
          <w:sz w:val="32"/>
        </w:rPr>
        <w:t>地方</w:t>
      </w:r>
      <w:r>
        <w:rPr>
          <w:rFonts w:ascii="Times New Roman" w:hAnsi="Times New Roman" w:eastAsia="仿宋_GB2312"/>
          <w:color w:val="auto"/>
          <w:sz w:val="32"/>
        </w:rPr>
        <w:t>媒体采访</w:t>
      </w:r>
      <w:r>
        <w:rPr>
          <w:rFonts w:hint="eastAsia" w:ascii="Times New Roman" w:hAnsi="Times New Roman" w:eastAsia="仿宋_GB2312"/>
          <w:color w:val="auto"/>
          <w:sz w:val="32"/>
          <w:lang w:val="en-US" w:eastAsia="zh-CN"/>
        </w:rPr>
        <w:t>3</w:t>
      </w:r>
      <w:r>
        <w:rPr>
          <w:rFonts w:ascii="Times New Roman" w:hAnsi="Times New Roman" w:eastAsia="仿宋_GB2312"/>
          <w:color w:val="auto"/>
          <w:sz w:val="32"/>
        </w:rPr>
        <w:t>余次，向当地媒体提供新闻</w:t>
      </w:r>
      <w:r>
        <w:rPr>
          <w:rFonts w:hint="eastAsia" w:ascii="Times New Roman" w:hAnsi="Times New Roman" w:eastAsia="仿宋_GB2312"/>
          <w:color w:val="auto"/>
          <w:sz w:val="32"/>
        </w:rPr>
        <w:t>稿件</w:t>
      </w:r>
      <w:r>
        <w:rPr>
          <w:rFonts w:hint="eastAsia" w:ascii="Times New Roman" w:hAnsi="Times New Roman" w:eastAsia="仿宋_GB2312"/>
          <w:color w:val="auto"/>
          <w:sz w:val="32"/>
          <w:lang w:val="en-US" w:eastAsia="zh-CN"/>
        </w:rPr>
        <w:t>9</w:t>
      </w:r>
      <w:r>
        <w:rPr>
          <w:rFonts w:ascii="Times New Roman" w:hAnsi="Times New Roman" w:eastAsia="仿宋_GB2312"/>
          <w:color w:val="auto"/>
          <w:sz w:val="32"/>
        </w:rPr>
        <w:t>篇</w:t>
      </w:r>
      <w:r>
        <w:rPr>
          <w:rFonts w:hint="eastAsia" w:ascii="仿宋_GB2312" w:hAnsi="仿宋_GB2312" w:eastAsia="仿宋_GB2312" w:cs="仿宋_GB2312"/>
          <w:color w:val="auto"/>
          <w:kern w:val="0"/>
          <w:sz w:val="32"/>
          <w:szCs w:val="32"/>
        </w:rPr>
        <w:t>。全年共收到依申请公开事项0条，无行政复议或行政诉讼。</w:t>
      </w:r>
    </w:p>
    <w:p>
      <w:pPr>
        <w:widowControl/>
        <w:shd w:val="clear" w:color="auto" w:fill="FFFFFF"/>
        <w:ind w:firstLine="480"/>
        <w:rPr>
          <w:rFonts w:ascii="黑体" w:hAnsi="黑体" w:eastAsia="黑体" w:cs="黑体"/>
          <w:color w:val="auto"/>
          <w:kern w:val="0"/>
          <w:sz w:val="32"/>
          <w:szCs w:val="32"/>
        </w:rPr>
      </w:pPr>
      <w:r>
        <w:rPr>
          <w:rFonts w:hint="eastAsia" w:ascii="黑体" w:hAnsi="黑体" w:eastAsia="黑体" w:cs="黑体"/>
          <w:b w:val="0"/>
          <w:bCs w:val="0"/>
          <w:color w:val="auto"/>
          <w:kern w:val="0"/>
          <w:sz w:val="32"/>
          <w:szCs w:val="32"/>
        </w:rPr>
        <w:t>二、主动公开政府信息情况</w:t>
      </w:r>
    </w:p>
    <w:tbl>
      <w:tblPr>
        <w:tblStyle w:val="6"/>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本年</w:t>
            </w:r>
            <w:r>
              <w:rPr>
                <w:rFonts w:ascii="宋体" w:hAnsi="宋体" w:cs="宋体"/>
                <w:color w:val="auto"/>
                <w:kern w:val="0"/>
                <w:sz w:val="20"/>
                <w:szCs w:val="20"/>
              </w:rPr>
              <w:t>制</w:t>
            </w:r>
            <w:r>
              <w:rPr>
                <w:rFonts w:hint="eastAsia" w:ascii="宋体" w:hAnsi="宋体" w:cs="宋体"/>
                <w:color w:val="auto"/>
                <w:kern w:val="0"/>
                <w:sz w:val="20"/>
                <w:szCs w:val="20"/>
              </w:rPr>
              <w:t>发件</w:t>
            </w:r>
            <w:r>
              <w:rPr>
                <w:rFonts w:ascii="宋体" w:hAnsi="宋体" w:cs="宋体"/>
                <w:color w:val="auto"/>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现行有效件</w:t>
            </w:r>
            <w:r>
              <w:rPr>
                <w:rFonts w:ascii="宋体" w:hAnsi="宋体" w:cs="宋体"/>
                <w:color w:val="auto"/>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宋体" w:hAnsi="宋体" w:eastAsia="宋体" w:cs="宋体"/>
                <w:color w:val="auto"/>
                <w:kern w:val="0"/>
                <w:sz w:val="24"/>
                <w:szCs w:val="24"/>
                <w:lang w:val="en-US" w:eastAsia="zh-CN"/>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r>
    </w:tbl>
    <w:p>
      <w:pPr>
        <w:widowControl/>
        <w:shd w:val="clear" w:color="auto" w:fill="FFFFFF"/>
        <w:ind w:firstLine="0"/>
        <w:rPr>
          <w:rFonts w:ascii="黑体" w:hAnsi="黑体" w:eastAsia="黑体" w:cs="黑体"/>
          <w:color w:val="auto"/>
          <w:kern w:val="0"/>
          <w:sz w:val="32"/>
          <w:szCs w:val="32"/>
        </w:rPr>
      </w:pPr>
      <w:r>
        <w:rPr>
          <w:rFonts w:hint="eastAsia" w:ascii="黑体" w:hAnsi="黑体" w:eastAsia="黑体" w:cs="黑体"/>
          <w:b w:val="0"/>
          <w:bCs w:val="0"/>
          <w:color w:val="auto"/>
          <w:kern w:val="0"/>
          <w:sz w:val="32"/>
          <w:szCs w:val="32"/>
        </w:rPr>
        <w:t>三、收到和处理政府信息公开申请情况</w:t>
      </w:r>
    </w:p>
    <w:p>
      <w:pPr>
        <w:widowControl/>
        <w:shd w:val="clear" w:color="auto" w:fill="FFFFFF"/>
        <w:ind w:firstLine="480"/>
        <w:rPr>
          <w:rFonts w:ascii="宋体" w:hAnsi="宋体" w:cs="宋体"/>
          <w:color w:val="auto"/>
          <w:kern w:val="0"/>
          <w:sz w:val="24"/>
          <w:szCs w:val="24"/>
        </w:rPr>
      </w:pPr>
    </w:p>
    <w:tbl>
      <w:tblPr>
        <w:tblStyle w:val="6"/>
        <w:tblW w:w="9748" w:type="dxa"/>
        <w:jc w:val="center"/>
        <w:tblLayout w:type="autofit"/>
        <w:tblCellMar>
          <w:top w:w="0" w:type="dxa"/>
          <w:left w:w="0" w:type="dxa"/>
          <w:bottom w:w="0" w:type="dxa"/>
          <w:right w:w="0" w:type="dxa"/>
        </w:tblCellMar>
      </w:tblPr>
      <w:tblGrid>
        <w:gridCol w:w="769"/>
        <w:gridCol w:w="943"/>
        <w:gridCol w:w="3220"/>
        <w:gridCol w:w="688"/>
        <w:gridCol w:w="688"/>
        <w:gridCol w:w="688"/>
        <w:gridCol w:w="688"/>
        <w:gridCol w:w="688"/>
        <w:gridCol w:w="688"/>
        <w:gridCol w:w="688"/>
      </w:tblGrid>
      <w:tr>
        <w:tblPrEx>
          <w:tblCellMar>
            <w:top w:w="0" w:type="dxa"/>
            <w:left w:w="0" w:type="dxa"/>
            <w:bottom w:w="0" w:type="dxa"/>
            <w:right w:w="0" w:type="dxa"/>
          </w:tblCellMar>
        </w:tblPrEx>
        <w:trPr>
          <w:jc w:val="center"/>
        </w:trPr>
        <w:tc>
          <w:tcPr>
            <w:tcW w:w="4932"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color w:val="auto"/>
                <w:kern w:val="0"/>
                <w:sz w:val="24"/>
                <w:szCs w:val="24"/>
              </w:rPr>
            </w:pPr>
            <w:r>
              <w:rPr>
                <w:rFonts w:hint="eastAsia" w:ascii="楷体" w:hAnsi="楷体" w:eastAsia="楷体" w:cs="宋体"/>
                <w:color w:val="auto"/>
                <w:kern w:val="0"/>
                <w:sz w:val="20"/>
                <w:szCs w:val="20"/>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法人或其他组织</w:t>
            </w:r>
          </w:p>
        </w:tc>
        <w:tc>
          <w:tcPr>
            <w:tcW w:w="688"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color w:val="auto"/>
                <w:kern w:val="0"/>
                <w:sz w:val="24"/>
                <w:szCs w:val="24"/>
              </w:rPr>
            </w:pPr>
            <w:r>
              <w:rPr>
                <w:rFonts w:hint="eastAsia" w:ascii="宋体" w:hAnsi="宋体" w:cs="宋体"/>
                <w:color w:val="auto"/>
                <w:kern w:val="0"/>
                <w:sz w:val="20"/>
                <w:szCs w:val="20"/>
              </w:rPr>
              <w:t>商业</w:t>
            </w:r>
          </w:p>
          <w:p>
            <w:pPr>
              <w:widowControl/>
              <w:spacing w:line="0" w:lineRule="atLeast"/>
              <w:jc w:val="center"/>
              <w:rPr>
                <w:rFonts w:ascii="宋体" w:hAnsi="宋体" w:cs="宋体"/>
                <w:color w:val="auto"/>
                <w:kern w:val="0"/>
                <w:sz w:val="24"/>
                <w:szCs w:val="24"/>
              </w:rPr>
            </w:pPr>
            <w:r>
              <w:rPr>
                <w:rFonts w:hint="eastAsia" w:ascii="宋体" w:hAnsi="宋体" w:cs="宋体"/>
                <w:color w:val="auto"/>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color w:val="auto"/>
                <w:kern w:val="0"/>
                <w:sz w:val="24"/>
                <w:szCs w:val="24"/>
              </w:rPr>
            </w:pPr>
            <w:r>
              <w:rPr>
                <w:rFonts w:hint="eastAsia" w:ascii="宋体" w:hAnsi="宋体" w:cs="宋体"/>
                <w:color w:val="auto"/>
                <w:kern w:val="0"/>
                <w:sz w:val="20"/>
                <w:szCs w:val="20"/>
              </w:rPr>
              <w:t>科研</w:t>
            </w:r>
          </w:p>
          <w:p>
            <w:pPr>
              <w:widowControl/>
              <w:spacing w:line="0" w:lineRule="atLeast"/>
              <w:jc w:val="center"/>
              <w:rPr>
                <w:rFonts w:ascii="宋体" w:hAnsi="宋体" w:cs="宋体"/>
                <w:color w:val="auto"/>
                <w:kern w:val="0"/>
                <w:sz w:val="24"/>
                <w:szCs w:val="24"/>
              </w:rPr>
            </w:pPr>
            <w:r>
              <w:rPr>
                <w:rFonts w:hint="eastAsia" w:ascii="宋体" w:hAnsi="宋体" w:cs="宋体"/>
                <w:color w:val="auto"/>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color w:val="auto"/>
                <w:kern w:val="0"/>
                <w:sz w:val="24"/>
                <w:szCs w:val="24"/>
              </w:rPr>
            </w:pPr>
            <w:r>
              <w:rPr>
                <w:rFonts w:hint="eastAsia" w:ascii="宋体" w:hAnsi="宋体" w:cs="宋体"/>
                <w:color w:val="auto"/>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color w:val="auto"/>
                <w:kern w:val="0"/>
                <w:sz w:val="24"/>
                <w:szCs w:val="24"/>
              </w:rPr>
            </w:pPr>
            <w:r>
              <w:rPr>
                <w:rFonts w:hint="eastAsia" w:ascii="宋体" w:hAnsi="宋体" w:cs="宋体"/>
                <w:color w:val="auto"/>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769"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（二）部分公开</w:t>
            </w:r>
            <w:r>
              <w:rPr>
                <w:rFonts w:hint="eastAsia" w:ascii="楷体" w:hAnsi="楷体" w:eastAsia="楷体" w:cs="宋体"/>
                <w:color w:val="auto"/>
                <w:kern w:val="0"/>
                <w:sz w:val="20"/>
                <w:szCs w:val="20"/>
              </w:rPr>
              <w:t>（区分处理的，只计这一情形，不计其他情形）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1.</w:t>
            </w:r>
            <w:r>
              <w:rPr>
                <w:rFonts w:hint="eastAsia" w:ascii="宋体" w:hAnsi="宋体" w:cs="宋体"/>
                <w:color w:val="auto"/>
                <w:kern w:val="0"/>
                <w:sz w:val="20"/>
                <w:szCs w:val="20"/>
              </w:rPr>
              <w:t>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2.</w:t>
            </w:r>
            <w:r>
              <w:rPr>
                <w:rFonts w:hint="eastAsia" w:ascii="宋体" w:hAnsi="宋体" w:cs="宋体"/>
                <w:color w:val="auto"/>
                <w:kern w:val="0"/>
                <w:sz w:val="20"/>
                <w:szCs w:val="20"/>
              </w:rPr>
              <w:t>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3.</w:t>
            </w:r>
            <w:r>
              <w:rPr>
                <w:rFonts w:hint="eastAsia" w:ascii="宋体" w:hAnsi="宋体" w:cs="宋体"/>
                <w:color w:val="auto"/>
                <w:kern w:val="0"/>
                <w:sz w:val="20"/>
                <w:szCs w:val="20"/>
              </w:rPr>
              <w:t>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4.</w:t>
            </w:r>
            <w:r>
              <w:rPr>
                <w:rFonts w:hint="eastAsia" w:ascii="宋体" w:hAnsi="宋体" w:cs="宋体"/>
                <w:color w:val="auto"/>
                <w:kern w:val="0"/>
                <w:sz w:val="20"/>
                <w:szCs w:val="20"/>
              </w:rPr>
              <w:t>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5.</w:t>
            </w:r>
            <w:r>
              <w:rPr>
                <w:rFonts w:hint="eastAsia" w:ascii="宋体" w:hAnsi="宋体" w:cs="宋体"/>
                <w:color w:val="auto"/>
                <w:kern w:val="0"/>
                <w:sz w:val="20"/>
                <w:szCs w:val="20"/>
              </w:rPr>
              <w:t>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6.</w:t>
            </w:r>
            <w:r>
              <w:rPr>
                <w:rFonts w:hint="eastAsia" w:ascii="宋体" w:hAnsi="宋体" w:cs="宋体"/>
                <w:color w:val="auto"/>
                <w:kern w:val="0"/>
                <w:sz w:val="20"/>
                <w:szCs w:val="20"/>
              </w:rPr>
              <w:t>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7.</w:t>
            </w:r>
            <w:r>
              <w:rPr>
                <w:rFonts w:hint="eastAsia" w:ascii="宋体" w:hAnsi="宋体" w:cs="宋体"/>
                <w:color w:val="auto"/>
                <w:kern w:val="0"/>
                <w:sz w:val="20"/>
                <w:szCs w:val="20"/>
              </w:rPr>
              <w:t>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8.</w:t>
            </w:r>
            <w:r>
              <w:rPr>
                <w:rFonts w:hint="eastAsia" w:ascii="宋体" w:hAnsi="宋体" w:cs="宋体"/>
                <w:color w:val="auto"/>
                <w:kern w:val="0"/>
                <w:sz w:val="20"/>
                <w:szCs w:val="20"/>
              </w:rPr>
              <w:t>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1.</w:t>
            </w:r>
            <w:r>
              <w:rPr>
                <w:rFonts w:hint="eastAsia" w:ascii="宋体" w:hAnsi="宋体" w:cs="宋体"/>
                <w:color w:val="auto"/>
                <w:kern w:val="0"/>
                <w:sz w:val="20"/>
                <w:szCs w:val="20"/>
              </w:rPr>
              <w:t>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2.</w:t>
            </w:r>
            <w:r>
              <w:rPr>
                <w:rFonts w:hint="eastAsia" w:ascii="宋体" w:hAnsi="宋体" w:cs="宋体"/>
                <w:color w:val="auto"/>
                <w:kern w:val="0"/>
                <w:sz w:val="20"/>
                <w:szCs w:val="20"/>
              </w:rPr>
              <w:t>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3.</w:t>
            </w:r>
            <w:r>
              <w:rPr>
                <w:rFonts w:hint="eastAsia" w:ascii="宋体" w:hAnsi="宋体" w:cs="宋体"/>
                <w:color w:val="auto"/>
                <w:kern w:val="0"/>
                <w:sz w:val="20"/>
                <w:szCs w:val="20"/>
              </w:rPr>
              <w:t>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1.</w:t>
            </w:r>
            <w:r>
              <w:rPr>
                <w:rFonts w:hint="eastAsia" w:ascii="宋体" w:hAnsi="宋体" w:cs="宋体"/>
                <w:color w:val="auto"/>
                <w:kern w:val="0"/>
                <w:sz w:val="20"/>
                <w:szCs w:val="20"/>
              </w:rPr>
              <w:t>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2.</w:t>
            </w:r>
            <w:r>
              <w:rPr>
                <w:rFonts w:hint="eastAsia" w:ascii="宋体" w:hAnsi="宋体" w:cs="宋体"/>
                <w:color w:val="auto"/>
                <w:kern w:val="0"/>
                <w:sz w:val="20"/>
                <w:szCs w:val="20"/>
              </w:rPr>
              <w:t>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3.</w:t>
            </w:r>
            <w:r>
              <w:rPr>
                <w:rFonts w:hint="eastAsia" w:ascii="宋体" w:hAnsi="宋体" w:cs="宋体"/>
                <w:color w:val="auto"/>
                <w:kern w:val="0"/>
                <w:sz w:val="20"/>
                <w:szCs w:val="20"/>
              </w:rPr>
              <w:t>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color w:val="auto"/>
                <w:kern w:val="0"/>
                <w:sz w:val="24"/>
                <w:szCs w:val="24"/>
              </w:rPr>
            </w:pPr>
            <w:r>
              <w:rPr>
                <w:rFonts w:ascii="宋体" w:hAnsi="宋体" w:cs="宋体"/>
                <w:color w:val="auto"/>
                <w:kern w:val="0"/>
                <w:sz w:val="20"/>
                <w:szCs w:val="20"/>
              </w:rPr>
              <w:t>4.</w:t>
            </w:r>
            <w:r>
              <w:rPr>
                <w:rFonts w:hint="eastAsia" w:ascii="宋体" w:hAnsi="宋体" w:cs="宋体"/>
                <w:color w:val="auto"/>
                <w:kern w:val="0"/>
                <w:sz w:val="20"/>
                <w:szCs w:val="20"/>
              </w:rPr>
              <w:t>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wBefore w:w="0" w:type="auto"/>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cs="宋体"/>
                <w:color w:val="auto"/>
                <w:kern w:val="0"/>
                <w:sz w:val="24"/>
                <w:szCs w:val="24"/>
              </w:rPr>
            </w:pPr>
            <w:r>
              <w:rPr>
                <w:rFonts w:ascii="宋体" w:hAnsi="宋体" w:cs="宋体"/>
                <w:color w:val="auto"/>
                <w:kern w:val="0"/>
                <w:sz w:val="20"/>
                <w:szCs w:val="20"/>
              </w:rPr>
              <w:t>5.</w:t>
            </w:r>
            <w:r>
              <w:rPr>
                <w:rFonts w:hint="eastAsia" w:ascii="宋体" w:hAnsi="宋体" w:cs="宋体"/>
                <w:color w:val="auto"/>
                <w:kern w:val="0"/>
                <w:sz w:val="20"/>
                <w:szCs w:val="20"/>
              </w:rPr>
              <w:t>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color w:val="auto"/>
                <w:kern w:val="0"/>
                <w:sz w:val="24"/>
                <w:szCs w:val="24"/>
              </w:rPr>
            </w:pPr>
            <w:r>
              <w:rPr>
                <w:rFonts w:ascii="宋体" w:hAnsi="宋体" w:cs="宋体"/>
                <w:color w:val="auto"/>
                <w:kern w:val="0"/>
                <w:sz w:val="20"/>
                <w:szCs w:val="20"/>
              </w:rPr>
              <w:t>1.</w:t>
            </w:r>
            <w:r>
              <w:rPr>
                <w:rFonts w:hint="eastAsia" w:ascii="宋体" w:hAnsi="宋体" w:cs="宋体"/>
                <w:color w:val="auto"/>
                <w:kern w:val="0"/>
                <w:sz w:val="20"/>
                <w:szCs w:val="20"/>
              </w:rPr>
              <w:t>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color w:val="auto"/>
                <w:kern w:val="0"/>
                <w:sz w:val="24"/>
                <w:szCs w:val="24"/>
              </w:rPr>
            </w:pPr>
            <w:r>
              <w:rPr>
                <w:rFonts w:ascii="宋体" w:hAnsi="宋体" w:cs="宋体"/>
                <w:color w:val="auto"/>
                <w:kern w:val="0"/>
                <w:sz w:val="20"/>
                <w:szCs w:val="20"/>
              </w:rPr>
              <w:t>2.</w:t>
            </w:r>
            <w:r>
              <w:rPr>
                <w:rFonts w:hint="eastAsia" w:ascii="宋体" w:hAnsi="宋体" w:cs="宋体"/>
                <w:color w:val="auto"/>
                <w:kern w:val="0"/>
                <w:sz w:val="20"/>
                <w:szCs w:val="20"/>
              </w:rPr>
              <w:t>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ascii="宋体" w:hAnsi="宋体" w:cs="宋体"/>
                <w:color w:val="auto"/>
                <w:kern w:val="0"/>
                <w:sz w:val="20"/>
                <w:szCs w:val="20"/>
              </w:rPr>
              <w:t>3.</w:t>
            </w:r>
            <w:r>
              <w:rPr>
                <w:rFonts w:hint="eastAsia" w:ascii="宋体" w:hAnsi="宋体" w:cs="宋体"/>
                <w:color w:val="auto"/>
                <w:kern w:val="0"/>
                <w:sz w:val="20"/>
                <w:szCs w:val="20"/>
              </w:rPr>
              <w:t>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color w:val="auto"/>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color w:val="auto"/>
                <w:kern w:val="0"/>
                <w:sz w:val="24"/>
                <w:szCs w:val="24"/>
              </w:rPr>
            </w:pPr>
          </w:p>
        </w:tc>
      </w:tr>
      <w:tr>
        <w:tblPrEx>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color w:val="auto"/>
                <w:kern w:val="0"/>
                <w:sz w:val="24"/>
                <w:szCs w:val="24"/>
              </w:rPr>
            </w:pPr>
            <w:r>
              <w:rPr>
                <w:rFonts w:hint="eastAsia" w:ascii="宋体" w:hAnsi="宋体" w:cs="宋体"/>
                <w:color w:val="auto"/>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color w:val="auto"/>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ind w:firstLine="240" w:firstLineChars="100"/>
              <w:jc w:val="left"/>
              <w:rPr>
                <w:rFonts w:ascii="宋体" w:hAnsi="宋体" w:cs="宋体"/>
                <w:color w:val="auto"/>
                <w:kern w:val="0"/>
                <w:sz w:val="24"/>
                <w:szCs w:val="24"/>
              </w:rPr>
            </w:pPr>
          </w:p>
        </w:tc>
      </w:tr>
    </w:tbl>
    <w:p>
      <w:pPr>
        <w:widowControl/>
        <w:shd w:val="clear" w:color="auto" w:fill="FFFFFF"/>
        <w:jc w:val="center"/>
        <w:rPr>
          <w:rFonts w:ascii="宋体" w:hAnsi="宋体" w:cs="宋体"/>
          <w:color w:val="auto"/>
          <w:kern w:val="0"/>
          <w:sz w:val="24"/>
          <w:szCs w:val="24"/>
        </w:rPr>
      </w:pPr>
    </w:p>
    <w:p>
      <w:pPr>
        <w:widowControl/>
        <w:shd w:val="clear" w:color="auto" w:fill="FFFFFF"/>
        <w:ind w:firstLine="0"/>
        <w:rPr>
          <w:rFonts w:ascii="黑体" w:hAnsi="黑体" w:eastAsia="黑体" w:cs="黑体"/>
          <w:color w:val="auto"/>
          <w:kern w:val="0"/>
          <w:sz w:val="32"/>
          <w:szCs w:val="32"/>
        </w:rPr>
      </w:pPr>
      <w:r>
        <w:rPr>
          <w:rFonts w:hint="eastAsia" w:ascii="黑体" w:hAnsi="黑体" w:eastAsia="黑体" w:cs="黑体"/>
          <w:b w:val="0"/>
          <w:bCs w:val="0"/>
          <w:color w:val="auto"/>
          <w:kern w:val="0"/>
          <w:sz w:val="32"/>
          <w:szCs w:val="32"/>
        </w:rPr>
        <w:t>四、政府信息公开行政复议、行政诉讼情况</w:t>
      </w:r>
    </w:p>
    <w:p>
      <w:pPr>
        <w:widowControl/>
        <w:shd w:val="clear" w:color="auto" w:fill="FFFFFF"/>
        <w:jc w:val="center"/>
        <w:rPr>
          <w:rFonts w:ascii="宋体" w:hAnsi="宋体" w:cs="宋体"/>
          <w:color w:val="auto"/>
          <w:kern w:val="0"/>
          <w:sz w:val="24"/>
          <w:szCs w:val="24"/>
        </w:rPr>
      </w:pPr>
    </w:p>
    <w:tbl>
      <w:tblPr>
        <w:tblStyle w:val="6"/>
        <w:tblW w:w="9748" w:type="dxa"/>
        <w:jc w:val="center"/>
        <w:tblLayout w:type="autofit"/>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CellMar>
            <w:top w:w="0" w:type="dxa"/>
            <w:left w:w="0" w:type="dxa"/>
            <w:bottom w:w="0" w:type="dxa"/>
            <w:right w:w="0" w:type="dxa"/>
          </w:tblCellMar>
        </w:tblPrEx>
        <w:trPr>
          <w:jc w:val="center"/>
        </w:trPr>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行政复议</w:t>
            </w:r>
          </w:p>
        </w:tc>
        <w:tc>
          <w:tcPr>
            <w:tcW w:w="649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行政诉讼</w:t>
            </w:r>
          </w:p>
        </w:tc>
      </w:tr>
      <w:tr>
        <w:tblPrEx>
          <w:tblCellMar>
            <w:top w:w="0" w:type="dxa"/>
            <w:left w:w="0" w:type="dxa"/>
            <w:bottom w:w="0" w:type="dxa"/>
            <w:right w:w="0" w:type="dxa"/>
          </w:tblCellMar>
        </w:tblPrEx>
        <w:trPr>
          <w:jc w:val="center"/>
        </w:trPr>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结果维持</w:t>
            </w:r>
          </w:p>
        </w:tc>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纠正</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其他</w:t>
            </w:r>
            <w:r>
              <w:rPr>
                <w:rFonts w:ascii="宋体" w:hAnsi="宋体" w:cs="宋体"/>
                <w:color w:val="auto"/>
                <w:kern w:val="0"/>
                <w:sz w:val="20"/>
                <w:szCs w:val="20"/>
              </w:rPr>
              <w:br w:type="textWrapping"/>
            </w:r>
            <w:r>
              <w:rPr>
                <w:rFonts w:hint="eastAsia" w:ascii="宋体" w:hAnsi="宋体" w:cs="宋体"/>
                <w:color w:val="auto"/>
                <w:kern w:val="0"/>
                <w:sz w:val="20"/>
                <w:szCs w:val="20"/>
              </w:rPr>
              <w:t>结果</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尚未</w:t>
            </w:r>
            <w:r>
              <w:rPr>
                <w:rFonts w:ascii="宋体" w:hAnsi="宋体" w:cs="宋体"/>
                <w:color w:val="auto"/>
                <w:kern w:val="0"/>
                <w:sz w:val="20"/>
                <w:szCs w:val="20"/>
              </w:rPr>
              <w:br w:type="textWrapping"/>
            </w:r>
            <w:r>
              <w:rPr>
                <w:rFonts w:hint="eastAsia" w:ascii="宋体" w:hAnsi="宋体" w:cs="宋体"/>
                <w:color w:val="auto"/>
                <w:kern w:val="0"/>
                <w:sz w:val="20"/>
                <w:szCs w:val="20"/>
              </w:rPr>
              <w:t>审结</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未经复议直接起诉</w:t>
            </w:r>
          </w:p>
        </w:tc>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auto"/>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其他</w:t>
            </w:r>
            <w:r>
              <w:rPr>
                <w:rFonts w:ascii="宋体" w:hAnsi="宋体" w:cs="宋体"/>
                <w:color w:val="auto"/>
                <w:kern w:val="0"/>
                <w:sz w:val="20"/>
                <w:szCs w:val="20"/>
              </w:rPr>
              <w:br w:type="textWrapping"/>
            </w:r>
            <w:r>
              <w:rPr>
                <w:rFonts w:hint="eastAsia" w:ascii="宋体" w:hAnsi="宋体" w:cs="宋体"/>
                <w:color w:val="auto"/>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尚未</w:t>
            </w:r>
            <w:r>
              <w:rPr>
                <w:rFonts w:ascii="宋体" w:hAnsi="宋体" w:cs="宋体"/>
                <w:color w:val="auto"/>
                <w:kern w:val="0"/>
                <w:sz w:val="20"/>
                <w:szCs w:val="20"/>
              </w:rPr>
              <w:br w:type="textWrapping"/>
            </w:r>
            <w:r>
              <w:rPr>
                <w:rFonts w:hint="eastAsia" w:ascii="宋体" w:hAnsi="宋体" w:cs="宋体"/>
                <w:color w:val="auto"/>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总计</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维持</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结果</w:t>
            </w:r>
            <w:r>
              <w:rPr>
                <w:rFonts w:ascii="宋体" w:hAnsi="宋体" w:cs="宋体"/>
                <w:color w:val="auto"/>
                <w:kern w:val="0"/>
                <w:sz w:val="20"/>
                <w:szCs w:val="20"/>
              </w:rPr>
              <w:br w:type="textWrapping"/>
            </w:r>
            <w:r>
              <w:rPr>
                <w:rFonts w:hint="eastAsia" w:ascii="宋体" w:hAnsi="宋体" w:cs="宋体"/>
                <w:color w:val="auto"/>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其他</w:t>
            </w:r>
            <w:r>
              <w:rPr>
                <w:rFonts w:ascii="宋体" w:hAnsi="宋体" w:cs="宋体"/>
                <w:color w:val="auto"/>
                <w:kern w:val="0"/>
                <w:sz w:val="20"/>
                <w:szCs w:val="20"/>
              </w:rPr>
              <w:br w:type="textWrapping"/>
            </w:r>
            <w:r>
              <w:rPr>
                <w:rFonts w:hint="eastAsia" w:ascii="宋体" w:hAnsi="宋体" w:cs="宋体"/>
                <w:color w:val="auto"/>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尚未</w:t>
            </w:r>
            <w:r>
              <w:rPr>
                <w:rFonts w:ascii="宋体" w:hAnsi="宋体" w:cs="宋体"/>
                <w:color w:val="auto"/>
                <w:kern w:val="0"/>
                <w:sz w:val="20"/>
                <w:szCs w:val="20"/>
              </w:rPr>
              <w:br w:type="textWrapping"/>
            </w:r>
            <w:r>
              <w:rPr>
                <w:rFonts w:hint="eastAsia" w:ascii="宋体" w:hAnsi="宋体" w:cs="宋体"/>
                <w:color w:val="auto"/>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r>
              <w:rPr>
                <w:rFonts w:hint="eastAsia" w:ascii="宋体" w:hAnsi="宋体" w:cs="宋体"/>
                <w:color w:val="auto"/>
                <w:kern w:val="0"/>
                <w:sz w:val="20"/>
                <w:szCs w:val="20"/>
              </w:rPr>
              <w:t>总计</w:t>
            </w:r>
          </w:p>
        </w:tc>
      </w:tr>
      <w:tr>
        <w:tblPrEx>
          <w:tblCellMar>
            <w:top w:w="0" w:type="dxa"/>
            <w:left w:w="0" w:type="dxa"/>
            <w:bottom w:w="0" w:type="dxa"/>
            <w:right w:w="0" w:type="dxa"/>
          </w:tblCellMar>
        </w:tblPrEx>
        <w:trPr>
          <w:trHeight w:val="672" w:hRule="atLeast"/>
          <w:jc w:val="center"/>
        </w:trPr>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color w:val="auto"/>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color w:val="auto"/>
                <w:kern w:val="0"/>
                <w:sz w:val="24"/>
                <w:szCs w:val="24"/>
              </w:rPr>
            </w:pPr>
          </w:p>
        </w:tc>
      </w:tr>
    </w:tbl>
    <w:p>
      <w:pPr>
        <w:widowControl/>
        <w:shd w:val="clear" w:color="auto" w:fill="FFFFFF"/>
        <w:ind w:firstLine="0"/>
        <w:rPr>
          <w:rFonts w:ascii="黑体" w:hAnsi="黑体" w:eastAsia="黑体" w:cs="黑体"/>
          <w:color w:val="auto"/>
          <w:kern w:val="0"/>
          <w:sz w:val="32"/>
          <w:szCs w:val="32"/>
        </w:rPr>
      </w:pPr>
      <w:r>
        <w:rPr>
          <w:rFonts w:hint="eastAsia" w:ascii="黑体" w:hAnsi="黑体" w:eastAsia="黑体" w:cs="黑体"/>
          <w:b w:val="0"/>
          <w:bCs w:val="0"/>
          <w:color w:val="auto"/>
          <w:kern w:val="0"/>
          <w:sz w:val="32"/>
          <w:szCs w:val="32"/>
        </w:rPr>
        <w:t>五、存在的主要问题及改进情况</w:t>
      </w:r>
    </w:p>
    <w:p>
      <w:pPr>
        <w:widowControl/>
        <w:shd w:val="clear" w:color="auto" w:fill="FFFFFF"/>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平凉市气象局在政府信息公开工作中还存在一些问题，主要表现在：部分工作人员的政府信息公开意识有待进一步加强；网站栏目各个部分的更新和网站维护等方面还需要进一步改进和加强。下一步，平凉局将采取有力措施，深入推进政务信息公开工作。</w:t>
      </w:r>
    </w:p>
    <w:p>
      <w:pPr>
        <w:widowControl/>
        <w:shd w:val="clear" w:color="auto" w:fill="FFFFFF"/>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一是继续严格执行政府信息公开工作的法律法规和各项规章制度，强化目标责任和监督检查，使政府信息公开工作真正落到实处。</w:t>
      </w:r>
    </w:p>
    <w:p>
      <w:pPr>
        <w:widowControl/>
        <w:shd w:val="clear" w:color="auto" w:fill="FFFFFF"/>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是进一步提高信息公开意识。加强气象工作人员信息公开工作主动性，开展政府信息公开专题培训，不断提高政务信息工作人员的综合素质，提升政府信息公开水平，积极回应社会关切和社会热点问题，及时发布政府信息。</w:t>
      </w:r>
    </w:p>
    <w:p>
      <w:pPr>
        <w:widowControl/>
        <w:shd w:val="clear" w:color="auto" w:fill="FFFFFF"/>
        <w:spacing w:line="560" w:lineRule="exact"/>
        <w:ind w:firstLine="640" w:firstLineChars="200"/>
        <w:rPr>
          <w:rFonts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三是丰富公开形式，细化公开内容。进一步提升门户网站，微博微信等公开渠道的服务功能，加强更新和维护,不断丰富政府信息公开的形式、内容，以便社会公众更好的获取政府信息。</w:t>
      </w:r>
    </w:p>
    <w:p>
      <w:pPr>
        <w:widowControl/>
        <w:shd w:val="clear" w:color="auto" w:fill="FFFFFF"/>
        <w:spacing w:line="560" w:lineRule="exact"/>
        <w:ind w:firstLine="640" w:firstLineChars="200"/>
        <w:rPr>
          <w:rFonts w:ascii="Times New Roman" w:hAnsi="Times New Roman" w:eastAsia="仿宋_GB2312" w:cs="Times New Roman"/>
          <w:color w:val="auto"/>
          <w:kern w:val="2"/>
          <w:sz w:val="32"/>
          <w:szCs w:val="22"/>
        </w:rPr>
      </w:pPr>
      <w:r>
        <w:rPr>
          <w:rFonts w:hint="eastAsia" w:ascii="黑体" w:hAnsi="黑体" w:eastAsia="黑体" w:cs="黑体"/>
          <w:b w:val="0"/>
          <w:bCs w:val="0"/>
          <w:color w:val="auto"/>
          <w:kern w:val="0"/>
          <w:sz w:val="32"/>
          <w:szCs w:val="32"/>
        </w:rPr>
        <w:t>六、其他需要报告的事项</w:t>
      </w:r>
    </w:p>
    <w:p>
      <w:pPr>
        <w:widowControl/>
        <w:shd w:val="clear" w:color="auto" w:fill="FFFFFF"/>
        <w:spacing w:line="560" w:lineRule="exact"/>
        <w:ind w:firstLine="640" w:firstLineChars="200"/>
        <w:rPr>
          <w:rFonts w:ascii="仿宋_GB2312" w:hAnsi="仿宋_GB2312" w:eastAsia="仿宋_GB2312" w:cs="仿宋_GB2312"/>
          <w:color w:val="auto"/>
          <w:sz w:val="32"/>
          <w:szCs w:val="32"/>
        </w:rPr>
      </w:pPr>
      <w:r>
        <w:rPr>
          <w:rFonts w:ascii="仿宋_GB2312" w:hAnsi="仿宋_GB2312" w:eastAsia="仿宋_GB2312" w:cs="仿宋_GB2312"/>
          <w:color w:val="auto"/>
          <w:sz w:val="32"/>
          <w:szCs w:val="32"/>
        </w:rPr>
        <w:t>本年度无其他需要报告的事项</w:t>
      </w:r>
      <w:r>
        <w:rPr>
          <w:rFonts w:hint="eastAsia" w:ascii="仿宋_GB2312" w:hAnsi="仿宋_GB2312" w:eastAsia="仿宋_GB2312" w:cs="仿宋_GB2312"/>
          <w:color w:val="auto"/>
          <w:sz w:val="32"/>
          <w:szCs w:val="32"/>
        </w:rPr>
        <w:t>。</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1686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316865" cy="1397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4</w:t>
                          </w:r>
                          <w:r>
                            <w:fldChar w:fldCharType="end"/>
                          </w:r>
                          <w: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24.95pt;mso-position-horizontal:center;mso-position-horizontal-relative:margin;mso-wrap-style:none;z-index:251659264;mso-width-relative:page;mso-height-relative:page;" filled="f" stroked="f" coordsize="21600,21600" o:gfxdata="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4</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wM2Q4YTNkYjU0ZDc3NTE1MDFjNWE1MzNlMjFlNWIifQ=="/>
  </w:docVars>
  <w:rsids>
    <w:rsidRoot w:val="001F3D42"/>
    <w:rsid w:val="00010086"/>
    <w:rsid w:val="000248FC"/>
    <w:rsid w:val="0003749C"/>
    <w:rsid w:val="00050CDF"/>
    <w:rsid w:val="00057B3D"/>
    <w:rsid w:val="000B23F2"/>
    <w:rsid w:val="0010087D"/>
    <w:rsid w:val="001B6E12"/>
    <w:rsid w:val="001F3D42"/>
    <w:rsid w:val="00290C3D"/>
    <w:rsid w:val="00293B28"/>
    <w:rsid w:val="002C0E66"/>
    <w:rsid w:val="002C6D89"/>
    <w:rsid w:val="00333092"/>
    <w:rsid w:val="003431BB"/>
    <w:rsid w:val="003442FC"/>
    <w:rsid w:val="00350497"/>
    <w:rsid w:val="00432A1C"/>
    <w:rsid w:val="0045259D"/>
    <w:rsid w:val="004D63EA"/>
    <w:rsid w:val="005568E2"/>
    <w:rsid w:val="00573022"/>
    <w:rsid w:val="00653582"/>
    <w:rsid w:val="0065482D"/>
    <w:rsid w:val="006A003B"/>
    <w:rsid w:val="006F4D28"/>
    <w:rsid w:val="00721E33"/>
    <w:rsid w:val="00723361"/>
    <w:rsid w:val="007317C9"/>
    <w:rsid w:val="00761DA8"/>
    <w:rsid w:val="007634B7"/>
    <w:rsid w:val="007B2ADF"/>
    <w:rsid w:val="008E10C1"/>
    <w:rsid w:val="00967007"/>
    <w:rsid w:val="009A6044"/>
    <w:rsid w:val="00B0357F"/>
    <w:rsid w:val="00B613A9"/>
    <w:rsid w:val="00BD2B43"/>
    <w:rsid w:val="00C03E0F"/>
    <w:rsid w:val="00C33AA2"/>
    <w:rsid w:val="00D17349"/>
    <w:rsid w:val="00DB43CE"/>
    <w:rsid w:val="00DB6987"/>
    <w:rsid w:val="00E66FB4"/>
    <w:rsid w:val="00E73526"/>
    <w:rsid w:val="00E92B39"/>
    <w:rsid w:val="00F0176D"/>
    <w:rsid w:val="00F058A3"/>
    <w:rsid w:val="00F64009"/>
    <w:rsid w:val="133611AA"/>
    <w:rsid w:val="27B06690"/>
    <w:rsid w:val="4315691A"/>
    <w:rsid w:val="ED9F7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uiPriority w:val="99"/>
    <w:rPr>
      <w:kern w:val="2"/>
      <w:sz w:val="18"/>
      <w:szCs w:val="18"/>
    </w:rPr>
  </w:style>
  <w:style w:type="paragraph" w:styleId="9">
    <w:name w:val="List Paragraph"/>
    <w:basedOn w:val="1"/>
    <w:qFormat/>
    <w:uiPriority w:val="34"/>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Pages>
  <Words>292</Words>
  <Characters>1666</Characters>
  <Lines>13</Lines>
  <Paragraphs>3</Paragraphs>
  <TotalTime>8</TotalTime>
  <ScaleCrop>false</ScaleCrop>
  <LinksUpToDate>false</LinksUpToDate>
  <CharactersWithSpaces>1955</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2023-02-16T11:56:00Z</dcterms:created>
  <dc:creator>李小平</dc:creator>
  <cp:lastModifiedBy>苑海燕</cp:lastModifiedBy>
  <dcterms:modified xsi:type="dcterms:W3CDTF">2024-01-29T16:56:25Z</dcterms:modified>
  <dc:title>国务院办公厅政府信息与政务公开办公室</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9F5DC659678E43D8A8D13A5BAACAD006_12</vt:lpwstr>
  </property>
</Properties>
</file>