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700" w:lineRule="exact"/>
        <w:jc w:val="center"/>
        <w:rPr>
          <w:rFonts w:ascii="方正小标宋简体" w:hAnsi="宋体" w:eastAsia="方正小标宋简体" w:cs="宋体"/>
          <w:bCs/>
          <w:color w:val="auto"/>
          <w:kern w:val="0"/>
          <w:sz w:val="44"/>
          <w:szCs w:val="44"/>
        </w:rPr>
      </w:pPr>
      <w:r>
        <w:rPr>
          <w:rFonts w:hint="eastAsia" w:ascii="方正小标宋简体" w:hAnsi="宋体" w:eastAsia="方正小标宋简体" w:cs="宋体"/>
          <w:bCs/>
          <w:color w:val="auto"/>
          <w:kern w:val="0"/>
          <w:sz w:val="44"/>
          <w:szCs w:val="44"/>
          <w:lang w:eastAsia="zh-CN"/>
        </w:rPr>
        <w:t>甘肃省</w:t>
      </w:r>
      <w:r>
        <w:rPr>
          <w:rFonts w:hint="eastAsia" w:ascii="方正小标宋简体" w:hAnsi="宋体" w:eastAsia="方正小标宋简体" w:cs="宋体"/>
          <w:bCs/>
          <w:color w:val="auto"/>
          <w:kern w:val="0"/>
          <w:sz w:val="44"/>
          <w:szCs w:val="44"/>
        </w:rPr>
        <w:t>临夏</w:t>
      </w:r>
      <w:bookmarkStart w:id="1" w:name="_GoBack"/>
      <w:bookmarkEnd w:id="1"/>
      <w:r>
        <w:rPr>
          <w:rFonts w:hint="eastAsia" w:ascii="方正小标宋简体" w:hAnsi="宋体" w:eastAsia="方正小标宋简体" w:cs="宋体"/>
          <w:bCs/>
          <w:color w:val="auto"/>
          <w:kern w:val="0"/>
          <w:sz w:val="44"/>
          <w:szCs w:val="44"/>
        </w:rPr>
        <w:t>州气象局</w:t>
      </w:r>
    </w:p>
    <w:p>
      <w:pPr>
        <w:widowControl/>
        <w:shd w:val="clear" w:color="auto" w:fill="FFFFFF"/>
        <w:spacing w:line="700" w:lineRule="exact"/>
        <w:jc w:val="center"/>
        <w:rPr>
          <w:rFonts w:ascii="方正小标宋简体" w:hAnsi="宋体" w:eastAsia="方正小标宋简体" w:cs="宋体"/>
          <w:bCs/>
          <w:color w:val="auto"/>
          <w:kern w:val="0"/>
          <w:sz w:val="44"/>
          <w:szCs w:val="44"/>
        </w:rPr>
      </w:pPr>
      <w:r>
        <w:rPr>
          <w:rFonts w:hint="eastAsia" w:ascii="方正小标宋简体" w:hAnsi="宋体" w:eastAsia="方正小标宋简体" w:cs="宋体"/>
          <w:bCs/>
          <w:color w:val="auto"/>
          <w:kern w:val="0"/>
          <w:sz w:val="44"/>
          <w:szCs w:val="44"/>
        </w:rPr>
        <w:t>2023年政府信息公开工作年度报告</w:t>
      </w:r>
    </w:p>
    <w:p>
      <w:pPr>
        <w:widowControl/>
        <w:shd w:val="clear" w:color="auto" w:fill="FFFFFF"/>
        <w:ind w:firstLine="480"/>
        <w:rPr>
          <w:rFonts w:ascii="宋体" w:hAnsi="宋体" w:eastAsia="宋体" w:cs="宋体"/>
          <w:color w:val="auto"/>
          <w:kern w:val="0"/>
          <w:sz w:val="24"/>
          <w:szCs w:val="24"/>
        </w:rPr>
      </w:pPr>
    </w:p>
    <w:p>
      <w:pPr>
        <w:widowControl/>
        <w:shd w:val="clear" w:color="auto" w:fill="FFFFFF"/>
        <w:spacing w:line="580" w:lineRule="exact"/>
        <w:ind w:firstLine="800" w:firstLineChars="250"/>
        <w:rPr>
          <w:rFonts w:ascii="黑体" w:hAnsi="黑体" w:eastAsia="黑体" w:cs="宋体"/>
          <w:color w:val="auto"/>
          <w:kern w:val="0"/>
          <w:sz w:val="32"/>
          <w:szCs w:val="32"/>
        </w:rPr>
      </w:pPr>
      <w:r>
        <w:rPr>
          <w:rFonts w:hint="eastAsia" w:ascii="黑体" w:hAnsi="黑体" w:eastAsia="黑体" w:cs="宋体"/>
          <w:color w:val="auto"/>
          <w:kern w:val="0"/>
          <w:sz w:val="32"/>
          <w:szCs w:val="32"/>
        </w:rPr>
        <w:t>一、总体情况</w:t>
      </w:r>
    </w:p>
    <w:p>
      <w:pPr>
        <w:widowControl/>
        <w:shd w:val="clear" w:color="auto" w:fill="FFFFFF"/>
        <w:spacing w:line="580" w:lineRule="exact"/>
        <w:ind w:firstLine="640" w:firstLineChars="200"/>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2023年，临夏州气象局认真贯彻落实习近平新时代中国特色社会主义思想和党的二十大精神，深入贯彻落实《中华人民共和国政府信息公开条例》要求，围绕省气象局和州委州政府重点工作，按照临夏州气象局2</w:t>
      </w:r>
      <w:r>
        <w:rPr>
          <w:rFonts w:ascii="仿宋_GB2312" w:hAnsi="宋体" w:eastAsia="仿宋_GB2312" w:cs="宋体"/>
          <w:color w:val="auto"/>
          <w:kern w:val="0"/>
          <w:sz w:val="32"/>
          <w:szCs w:val="32"/>
        </w:rPr>
        <w:t>0</w:t>
      </w:r>
      <w:r>
        <w:rPr>
          <w:rFonts w:hint="eastAsia" w:ascii="仿宋_GB2312" w:hAnsi="宋体" w:eastAsia="仿宋_GB2312" w:cs="宋体"/>
          <w:color w:val="auto"/>
          <w:kern w:val="0"/>
          <w:sz w:val="32"/>
          <w:szCs w:val="32"/>
        </w:rPr>
        <w:t>23年政府信息公开目录，大力推进决策、执行、管理、服务、结果公开，积极做到“以公开为常态、不公开为例外”，深入推进政府信息公开工作。</w:t>
      </w:r>
    </w:p>
    <w:p>
      <w:pPr>
        <w:widowControl/>
        <w:shd w:val="clear" w:color="auto" w:fill="FFFFFF"/>
        <w:spacing w:line="580" w:lineRule="exact"/>
        <w:ind w:firstLine="640" w:firstLineChars="200"/>
        <w:rPr>
          <w:rFonts w:ascii="楷体_GB2312" w:hAnsi="宋体" w:eastAsia="楷体_GB2312" w:cs="宋体"/>
          <w:color w:val="auto"/>
          <w:kern w:val="0"/>
          <w:sz w:val="32"/>
          <w:szCs w:val="32"/>
        </w:rPr>
      </w:pPr>
      <w:r>
        <w:rPr>
          <w:rFonts w:hint="eastAsia" w:ascii="楷体_GB2312" w:hAnsi="宋体" w:eastAsia="楷体_GB2312" w:cs="宋体"/>
          <w:color w:val="auto"/>
          <w:kern w:val="0"/>
          <w:sz w:val="32"/>
          <w:szCs w:val="32"/>
        </w:rPr>
        <w:t>（一）领导重视，责任明确</w:t>
      </w:r>
    </w:p>
    <w:p>
      <w:pPr>
        <w:widowControl/>
        <w:shd w:val="clear" w:color="auto" w:fill="FFFFFF"/>
        <w:spacing w:line="580" w:lineRule="exact"/>
        <w:ind w:firstLine="640" w:firstLineChars="200"/>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临夏州气象局高度重视政务公开工作，成立了由分管副局长任组</w:t>
      </w:r>
      <w:r>
        <w:rPr>
          <w:rFonts w:hint="eastAsia" w:ascii="仿宋_GB2312" w:hAnsi="宋体" w:eastAsia="仿宋_GB2312" w:cs="宋体"/>
          <w:color w:val="auto"/>
          <w:kern w:val="0"/>
          <w:sz w:val="32"/>
          <w:szCs w:val="32"/>
        </w:rPr>
        <w:t>长的局政务</w:t>
      </w:r>
      <w:r>
        <w:rPr>
          <w:rFonts w:hint="eastAsia" w:ascii="仿宋_GB2312" w:hAnsi="宋体" w:eastAsia="仿宋_GB2312" w:cs="宋体"/>
          <w:color w:val="auto"/>
          <w:kern w:val="0"/>
          <w:sz w:val="32"/>
          <w:szCs w:val="32"/>
        </w:rPr>
        <w:t>公开工作领导小组，指定两名办公室人员负责政务公开工作，全面负责局政务公开工作，为扎实高效准确开展工作打下坚实的组织基础。同时，定期在局办公会听取工作开展汇报，集体讨论政务公开工作中遇到的难题和研究下</w:t>
      </w:r>
      <w:r>
        <w:rPr>
          <w:rFonts w:hint="eastAsia" w:ascii="仿宋_GB2312" w:hAnsi="宋体" w:eastAsia="仿宋_GB2312" w:cs="宋体"/>
          <w:color w:val="auto"/>
          <w:kern w:val="0"/>
          <w:sz w:val="32"/>
          <w:szCs w:val="32"/>
        </w:rPr>
        <w:t>一步开展思路，为</w:t>
      </w:r>
      <w:r>
        <w:rPr>
          <w:rFonts w:hint="eastAsia" w:ascii="仿宋_GB2312" w:hAnsi="宋体" w:eastAsia="仿宋_GB2312" w:cs="宋体"/>
          <w:color w:val="auto"/>
          <w:kern w:val="0"/>
          <w:sz w:val="32"/>
          <w:szCs w:val="32"/>
        </w:rPr>
        <w:t>政务公开工作良性运行建立了清晰的工作机制。</w:t>
      </w:r>
    </w:p>
    <w:p>
      <w:pPr>
        <w:widowControl/>
        <w:shd w:val="clear" w:color="auto" w:fill="FFFFFF"/>
        <w:spacing w:line="580" w:lineRule="exact"/>
        <w:ind w:firstLine="640" w:firstLineChars="200"/>
        <w:rPr>
          <w:rFonts w:ascii="楷体_GB2312" w:hAnsi="宋体" w:eastAsia="楷体_GB2312" w:cs="宋体"/>
          <w:color w:val="auto"/>
          <w:kern w:val="0"/>
          <w:sz w:val="32"/>
          <w:szCs w:val="32"/>
        </w:rPr>
      </w:pPr>
      <w:r>
        <w:rPr>
          <w:rFonts w:hint="eastAsia" w:ascii="楷体_GB2312" w:hAnsi="宋体" w:eastAsia="楷体_GB2312" w:cs="宋体"/>
          <w:color w:val="auto"/>
          <w:kern w:val="0"/>
          <w:sz w:val="32"/>
          <w:szCs w:val="32"/>
        </w:rPr>
        <w:t>（二）制度规范，责任到位</w:t>
      </w:r>
    </w:p>
    <w:p>
      <w:pPr>
        <w:widowControl/>
        <w:shd w:val="clear" w:color="auto" w:fill="FFFFFF"/>
        <w:spacing w:line="580" w:lineRule="exact"/>
        <w:ind w:firstLine="640" w:firstLineChars="200"/>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为确保信息公开透明又实用规范，按照“控制源头、加强检查、明确责任、落实制度”的原则，制定局政务信息公开目录，明确了公开内容、公开方式、公开时限、责任主体等，明确了各部门单位职责、工作任务。基本上做到了日常性工作定期公开，阶段性工作逐段公开，事关群众切身利益的事项及时公开。</w:t>
      </w:r>
    </w:p>
    <w:p>
      <w:pPr>
        <w:widowControl/>
        <w:shd w:val="clear" w:color="auto" w:fill="FFFFFF"/>
        <w:spacing w:line="580" w:lineRule="exact"/>
        <w:ind w:firstLine="640" w:firstLineChars="200"/>
        <w:rPr>
          <w:rFonts w:ascii="仿宋_GB2312" w:hAnsi="宋体" w:eastAsia="仿宋_GB2312" w:cs="宋体"/>
          <w:color w:val="auto"/>
          <w:kern w:val="0"/>
          <w:sz w:val="32"/>
          <w:szCs w:val="32"/>
        </w:rPr>
      </w:pPr>
      <w:r>
        <w:rPr>
          <w:rFonts w:hint="eastAsia" w:ascii="楷体_GB2312" w:hAnsi="宋体" w:eastAsia="楷体_GB2312" w:cs="宋体"/>
          <w:color w:val="auto"/>
          <w:kern w:val="0"/>
          <w:sz w:val="32"/>
          <w:szCs w:val="32"/>
        </w:rPr>
        <w:t>（三）审核严格，流程公开</w:t>
      </w:r>
    </w:p>
    <w:p>
      <w:pPr>
        <w:widowControl/>
        <w:shd w:val="clear" w:color="auto" w:fill="FFFFFF"/>
        <w:spacing w:line="580" w:lineRule="exact"/>
        <w:ind w:firstLine="640" w:firstLineChars="200"/>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每次信息公开前必须经分管领导进行审核，特别重大的由局主要负责人把关，坚持“谁供稿、谁负责”，确保责任到人，有效地促进了政务公开工作的顺利开展。2</w:t>
      </w:r>
      <w:r>
        <w:rPr>
          <w:rFonts w:ascii="仿宋_GB2312" w:hAnsi="宋体" w:eastAsia="仿宋_GB2312" w:cs="宋体"/>
          <w:color w:val="auto"/>
          <w:kern w:val="0"/>
          <w:sz w:val="32"/>
          <w:szCs w:val="32"/>
        </w:rPr>
        <w:t>0</w:t>
      </w:r>
      <w:r>
        <w:rPr>
          <w:rFonts w:hint="eastAsia" w:ascii="仿宋_GB2312" w:hAnsi="宋体" w:eastAsia="仿宋_GB2312" w:cs="宋体"/>
          <w:color w:val="auto"/>
          <w:kern w:val="0"/>
          <w:sz w:val="32"/>
          <w:szCs w:val="32"/>
        </w:rPr>
        <w:t>23年我局无一例政府信息公开失密、泄密事件发生，没有因为政府信息公开工作而被申请行政复议或被提起行政诉讼；没有收到投诉举报信件；没有依申请公开信息收取的费用。</w:t>
      </w:r>
    </w:p>
    <w:p>
      <w:pPr>
        <w:widowControl/>
        <w:shd w:val="clear" w:color="auto" w:fill="FFFFFF"/>
        <w:spacing w:line="580" w:lineRule="exact"/>
        <w:ind w:firstLine="640" w:firstLineChars="200"/>
        <w:rPr>
          <w:rFonts w:ascii="楷体_GB2312" w:hAnsi="宋体" w:eastAsia="楷体_GB2312" w:cs="宋体"/>
          <w:color w:val="auto"/>
          <w:kern w:val="0"/>
          <w:sz w:val="32"/>
          <w:szCs w:val="32"/>
        </w:rPr>
      </w:pPr>
      <w:r>
        <w:rPr>
          <w:rFonts w:hint="eastAsia" w:ascii="楷体_GB2312" w:hAnsi="宋体" w:eastAsia="楷体_GB2312" w:cs="宋体"/>
          <w:color w:val="auto"/>
          <w:kern w:val="0"/>
          <w:sz w:val="32"/>
          <w:szCs w:val="32"/>
        </w:rPr>
        <w:t>（四）丰富平台，拓宽渠道</w:t>
      </w:r>
    </w:p>
    <w:p>
      <w:pPr>
        <w:widowControl/>
        <w:shd w:val="clear" w:color="auto" w:fill="FFFFFF"/>
        <w:spacing w:line="580" w:lineRule="exact"/>
        <w:ind w:firstLine="640" w:firstLineChars="200"/>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在严格把州政府网站要求的规定内容做好政务公开工作外，积极利用甘肃省气象局网站临夏州气象局板块、新闻媒体、微信公众号等发布政务信息，通过电视台、电台等发布公众气象服务信息，微信、微博、抖音、今日头条等每日及时更新，打通互联网信息沟通的路线。据统计2</w:t>
      </w:r>
      <w:r>
        <w:rPr>
          <w:rFonts w:ascii="仿宋_GB2312" w:hAnsi="宋体" w:eastAsia="仿宋_GB2312" w:cs="宋体"/>
          <w:color w:val="auto"/>
          <w:kern w:val="0"/>
          <w:sz w:val="32"/>
          <w:szCs w:val="32"/>
        </w:rPr>
        <w:t>0</w:t>
      </w:r>
      <w:r>
        <w:rPr>
          <w:rFonts w:hint="eastAsia" w:ascii="仿宋_GB2312" w:hAnsi="宋体" w:eastAsia="仿宋_GB2312" w:cs="宋体"/>
          <w:color w:val="auto"/>
          <w:kern w:val="0"/>
          <w:sz w:val="32"/>
          <w:szCs w:val="32"/>
        </w:rPr>
        <w:t>23年，局内政务公开48条，在甘肃省气象局临夏州气象局板块公开政府信息94条（件），政府网站公开政府信息数150条，微信公开信息数365条,抖音公开信息数417条，今日头条公开信息数628条。在3·23世界气象日、5·12防灾减灾日等临夏州气象局、临夏州气象学会联合举办线上开放日活动，加强气象科普宣传，增进公众对气象工作的关注。</w:t>
      </w:r>
    </w:p>
    <w:p>
      <w:pPr>
        <w:widowControl/>
        <w:shd w:val="clear" w:color="auto" w:fill="FFFFFF"/>
        <w:ind w:firstLine="320" w:firstLineChars="100"/>
        <w:rPr>
          <w:rFonts w:hint="eastAsia" w:ascii="黑体" w:hAnsi="黑体" w:eastAsia="黑体" w:cs="宋体"/>
          <w:color w:val="auto"/>
          <w:kern w:val="0"/>
          <w:sz w:val="32"/>
          <w:szCs w:val="32"/>
        </w:rPr>
      </w:pPr>
      <w:bookmarkStart w:id="0" w:name="_Hlk93662615"/>
    </w:p>
    <w:p>
      <w:pPr>
        <w:widowControl/>
        <w:shd w:val="clear" w:color="auto" w:fill="FFFFFF"/>
        <w:ind w:firstLine="320" w:firstLineChars="100"/>
        <w:rPr>
          <w:rFonts w:ascii="黑体" w:hAnsi="黑体" w:eastAsia="黑体" w:cs="宋体"/>
          <w:color w:val="auto"/>
          <w:kern w:val="0"/>
          <w:sz w:val="32"/>
          <w:szCs w:val="32"/>
        </w:rPr>
      </w:pPr>
      <w:r>
        <w:rPr>
          <w:rFonts w:hint="eastAsia" w:ascii="黑体" w:hAnsi="黑体" w:eastAsia="黑体" w:cs="宋体"/>
          <w:color w:val="auto"/>
          <w:kern w:val="0"/>
          <w:sz w:val="32"/>
          <w:szCs w:val="32"/>
        </w:rPr>
        <w:t>二、主动公开政府信息情况</w:t>
      </w:r>
    </w:p>
    <w:tbl>
      <w:tblPr>
        <w:tblStyle w:val="4"/>
        <w:tblW w:w="8800" w:type="dxa"/>
        <w:jc w:val="center"/>
        <w:tblLayout w:type="autofit"/>
        <w:tblCellMar>
          <w:top w:w="0" w:type="dxa"/>
          <w:left w:w="0" w:type="dxa"/>
          <w:bottom w:w="0" w:type="dxa"/>
          <w:right w:w="0" w:type="dxa"/>
        </w:tblCellMar>
      </w:tblPr>
      <w:tblGrid>
        <w:gridCol w:w="2200"/>
        <w:gridCol w:w="2200"/>
        <w:gridCol w:w="2200"/>
        <w:gridCol w:w="2200"/>
      </w:tblGrid>
      <w:tr>
        <w:tblPrEx>
          <w:tblCellMar>
            <w:top w:w="0" w:type="dxa"/>
            <w:left w:w="0" w:type="dxa"/>
            <w:bottom w:w="0" w:type="dxa"/>
            <w:right w:w="0" w:type="dxa"/>
          </w:tblCellMar>
        </w:tblPrEx>
        <w:trPr>
          <w:trHeight w:val="531" w:hRule="atLeast"/>
          <w:jc w:val="center"/>
        </w:trPr>
        <w:tc>
          <w:tcPr>
            <w:tcW w:w="880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方正黑体_GBK" w:hAnsi="方正黑体_GBK" w:eastAsia="方正黑体_GBK" w:cs="方正黑体_GBK"/>
                <w:color w:val="auto"/>
                <w:kern w:val="0"/>
                <w:sz w:val="24"/>
                <w:szCs w:val="24"/>
              </w:rPr>
              <w:t>第二十条第（一）项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信息内容</w:t>
            </w:r>
          </w:p>
        </w:tc>
        <w:tc>
          <w:tcPr>
            <w:tcW w:w="220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本年</w:t>
            </w:r>
            <w:r>
              <w:rPr>
                <w:rFonts w:ascii="宋体" w:hAnsi="宋体" w:cs="宋体"/>
                <w:b/>
                <w:bCs/>
                <w:color w:val="auto"/>
                <w:kern w:val="0"/>
                <w:sz w:val="20"/>
                <w:szCs w:val="20"/>
              </w:rPr>
              <w:t>制</w:t>
            </w:r>
            <w:r>
              <w:rPr>
                <w:rFonts w:hint="eastAsia" w:ascii="宋体" w:hAnsi="宋体" w:cs="宋体"/>
                <w:b/>
                <w:bCs/>
                <w:color w:val="auto"/>
                <w:kern w:val="0"/>
                <w:sz w:val="20"/>
                <w:szCs w:val="20"/>
              </w:rPr>
              <w:t>发件</w:t>
            </w:r>
            <w:r>
              <w:rPr>
                <w:rFonts w:ascii="宋体" w:hAnsi="宋体" w:cs="宋体"/>
                <w:b/>
                <w:bCs/>
                <w:color w:val="auto"/>
                <w:kern w:val="0"/>
                <w:sz w:val="20"/>
                <w:szCs w:val="20"/>
              </w:rPr>
              <w:t>数</w:t>
            </w:r>
          </w:p>
        </w:tc>
        <w:tc>
          <w:tcPr>
            <w:tcW w:w="220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本年废止件数</w:t>
            </w:r>
          </w:p>
        </w:tc>
        <w:tc>
          <w:tcPr>
            <w:tcW w:w="220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现行有效件</w:t>
            </w:r>
            <w:r>
              <w:rPr>
                <w:rFonts w:ascii="宋体" w:hAnsi="宋体" w:cs="宋体"/>
                <w:b/>
                <w:bCs/>
                <w:color w:val="auto"/>
                <w:kern w:val="0"/>
                <w:sz w:val="20"/>
                <w:szCs w:val="20"/>
              </w:rPr>
              <w:t>数</w:t>
            </w:r>
          </w:p>
        </w:tc>
      </w:tr>
      <w:tr>
        <w:tblPrEx>
          <w:tblCellMar>
            <w:top w:w="0" w:type="dxa"/>
            <w:left w:w="0" w:type="dxa"/>
            <w:bottom w:w="0" w:type="dxa"/>
            <w:right w:w="0" w:type="dxa"/>
          </w:tblCellMar>
        </w:tblPrEx>
        <w:trPr>
          <w:trHeight w:val="895"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规章</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楷体_GB2312" w:hAnsi="楷体_GB2312" w:eastAsia="楷体_GB2312" w:cs="楷体_GB2312"/>
                <w:color w:val="auto"/>
                <w:kern w:val="0"/>
                <w:sz w:val="24"/>
                <w:szCs w:val="24"/>
              </w:rPr>
            </w:pP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楷体_GB2312" w:hAnsi="楷体_GB2312" w:eastAsia="楷体_GB2312" w:cs="楷体_GB2312"/>
                <w:color w:val="auto"/>
                <w:kern w:val="0"/>
                <w:sz w:val="24"/>
                <w:szCs w:val="24"/>
              </w:rPr>
            </w:pP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楷体_GB2312" w:hAnsi="楷体_GB2312" w:eastAsia="楷体_GB2312" w:cs="楷体_GB2312"/>
                <w:color w:val="auto"/>
                <w:kern w:val="0"/>
                <w:sz w:val="24"/>
                <w:szCs w:val="24"/>
              </w:rPr>
            </w:pPr>
          </w:p>
        </w:tc>
      </w:tr>
      <w:tr>
        <w:tblPrEx>
          <w:tblCellMar>
            <w:top w:w="0" w:type="dxa"/>
            <w:left w:w="0" w:type="dxa"/>
            <w:bottom w:w="0" w:type="dxa"/>
            <w:right w:w="0" w:type="dxa"/>
          </w:tblCellMar>
        </w:tblPrEx>
        <w:trPr>
          <w:trHeight w:val="595"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行政规范性文件</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p>
            <w:pPr>
              <w:widowControl/>
              <w:jc w:val="center"/>
              <w:rPr>
                <w:rFonts w:ascii="楷体_GB2312" w:hAnsi="楷体_GB2312" w:eastAsia="楷体_GB2312" w:cs="楷体_GB2312"/>
                <w:color w:val="auto"/>
                <w:kern w:val="0"/>
                <w:sz w:val="24"/>
                <w:szCs w:val="24"/>
              </w:rPr>
            </w:pP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4"/>
                <w:szCs w:val="24"/>
              </w:rPr>
            </w:pP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p>
            <w:pPr>
              <w:widowControl/>
              <w:jc w:val="center"/>
              <w:rPr>
                <w:rFonts w:ascii="楷体_GB2312" w:hAnsi="楷体_GB2312" w:eastAsia="楷体_GB2312" w:cs="楷体_GB2312"/>
                <w:color w:val="auto"/>
                <w:kern w:val="0"/>
                <w:sz w:val="24"/>
                <w:szCs w:val="24"/>
              </w:rPr>
            </w:pPr>
          </w:p>
        </w:tc>
      </w:tr>
      <w:tr>
        <w:tblPrEx>
          <w:tblCellMar>
            <w:top w:w="0" w:type="dxa"/>
            <w:left w:w="0" w:type="dxa"/>
            <w:bottom w:w="0" w:type="dxa"/>
            <w:right w:w="0" w:type="dxa"/>
          </w:tblCellMar>
        </w:tblPrEx>
        <w:trPr>
          <w:trHeight w:val="531" w:hRule="atLeast"/>
          <w:jc w:val="center"/>
        </w:trPr>
        <w:tc>
          <w:tcPr>
            <w:tcW w:w="88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方正黑体_GBK" w:hAnsi="方正黑体_GBK" w:eastAsia="方正黑体_GBK" w:cs="方正黑体_GBK"/>
                <w:color w:val="auto"/>
                <w:kern w:val="0"/>
                <w:sz w:val="24"/>
                <w:szCs w:val="24"/>
              </w:rPr>
              <w:t>第二十条第（五）项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信息内容</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本年处理决定数量</w:t>
            </w:r>
          </w:p>
        </w:tc>
      </w:tr>
      <w:tr>
        <w:tblPrEx>
          <w:tblCellMar>
            <w:top w:w="0" w:type="dxa"/>
            <w:left w:w="0" w:type="dxa"/>
            <w:bottom w:w="0" w:type="dxa"/>
            <w:right w:w="0" w:type="dxa"/>
          </w:tblCellMar>
        </w:tblPrEx>
        <w:trPr>
          <w:trHeight w:val="618"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b/>
                <w:bCs/>
                <w:color w:val="auto"/>
                <w:kern w:val="0"/>
                <w:sz w:val="20"/>
                <w:szCs w:val="20"/>
              </w:rPr>
              <w:t>行政许可</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trHeight w:val="531" w:hRule="atLeast"/>
          <w:jc w:val="center"/>
        </w:trPr>
        <w:tc>
          <w:tcPr>
            <w:tcW w:w="88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方正黑体_GBK" w:hAnsi="方正黑体_GBK" w:eastAsia="方正黑体_GBK" w:cs="方正黑体_GBK"/>
                <w:color w:val="auto"/>
                <w:kern w:val="0"/>
                <w:sz w:val="24"/>
                <w:szCs w:val="24"/>
              </w:rPr>
              <w:t>第二十条第（六）项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信息内容</w:t>
            </w:r>
          </w:p>
        </w:tc>
        <w:tc>
          <w:tcPr>
            <w:tcW w:w="6600"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本年处理决定数量</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行政处罚</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行政强制</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trHeight w:val="531" w:hRule="atLeast"/>
          <w:jc w:val="center"/>
        </w:trPr>
        <w:tc>
          <w:tcPr>
            <w:tcW w:w="88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方正黑体_GBK" w:hAnsi="方正黑体_GBK" w:eastAsia="方正黑体_GBK" w:cs="方正黑体_GBK"/>
                <w:color w:val="auto"/>
                <w:kern w:val="0"/>
                <w:sz w:val="24"/>
                <w:szCs w:val="24"/>
              </w:rPr>
              <w:t>第二十条第（八）项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信息内容</w:t>
            </w:r>
          </w:p>
        </w:tc>
        <w:tc>
          <w:tcPr>
            <w:tcW w:w="6600"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本年收费金额（单位：万元）</w:t>
            </w:r>
          </w:p>
        </w:tc>
      </w:tr>
      <w:tr>
        <w:tblPrEx>
          <w:tblCellMar>
            <w:top w:w="0" w:type="dxa"/>
            <w:left w:w="0" w:type="dxa"/>
            <w:bottom w:w="0" w:type="dxa"/>
            <w:right w:w="0" w:type="dxa"/>
          </w:tblCellMar>
        </w:tblPrEx>
        <w:trPr>
          <w:trHeight w:val="587"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b/>
                <w:bCs/>
                <w:color w:val="auto"/>
                <w:kern w:val="0"/>
                <w:sz w:val="20"/>
                <w:szCs w:val="20"/>
              </w:rPr>
              <w:t>行政事业性收费</w:t>
            </w:r>
          </w:p>
        </w:tc>
        <w:tc>
          <w:tcPr>
            <w:tcW w:w="6600"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r>
    </w:tbl>
    <w:p>
      <w:pPr>
        <w:widowControl/>
        <w:shd w:val="clear" w:color="auto" w:fill="FFFFFF"/>
        <w:rPr>
          <w:rFonts w:ascii="宋体" w:hAnsi="宋体" w:eastAsia="宋体" w:cs="宋体"/>
          <w:color w:val="auto"/>
          <w:kern w:val="0"/>
          <w:sz w:val="24"/>
          <w:szCs w:val="24"/>
        </w:rPr>
      </w:pPr>
    </w:p>
    <w:p>
      <w:pPr>
        <w:widowControl/>
        <w:shd w:val="clear" w:color="auto" w:fill="FFFFFF"/>
        <w:ind w:firstLine="480" w:firstLineChars="150"/>
        <w:rPr>
          <w:rFonts w:ascii="黑体" w:hAnsi="黑体" w:eastAsia="黑体" w:cs="宋体"/>
          <w:color w:val="auto"/>
          <w:kern w:val="0"/>
          <w:sz w:val="32"/>
          <w:szCs w:val="32"/>
        </w:rPr>
      </w:pPr>
      <w:r>
        <w:rPr>
          <w:rFonts w:hint="eastAsia" w:ascii="黑体" w:hAnsi="黑体" w:eastAsia="黑体" w:cs="宋体"/>
          <w:color w:val="auto"/>
          <w:kern w:val="0"/>
          <w:sz w:val="32"/>
          <w:szCs w:val="32"/>
        </w:rPr>
        <w:t>三、收到和处理政府信息公开申请情况</w:t>
      </w:r>
    </w:p>
    <w:tbl>
      <w:tblPr>
        <w:tblStyle w:val="4"/>
        <w:tblW w:w="0" w:type="auto"/>
        <w:jc w:val="center"/>
        <w:tblLayout w:type="autofit"/>
        <w:tblCellMar>
          <w:top w:w="0" w:type="dxa"/>
          <w:left w:w="0" w:type="dxa"/>
          <w:bottom w:w="0" w:type="dxa"/>
          <w:right w:w="0" w:type="dxa"/>
        </w:tblCellMar>
      </w:tblPr>
      <w:tblGrid>
        <w:gridCol w:w="839"/>
        <w:gridCol w:w="945"/>
        <w:gridCol w:w="2262"/>
        <w:gridCol w:w="466"/>
        <w:gridCol w:w="693"/>
        <w:gridCol w:w="644"/>
        <w:gridCol w:w="756"/>
        <w:gridCol w:w="834"/>
        <w:gridCol w:w="516"/>
        <w:gridCol w:w="516"/>
      </w:tblGrid>
      <w:tr>
        <w:trPr>
          <w:jc w:val="center"/>
        </w:trPr>
        <w:tc>
          <w:tcPr>
            <w:tcW w:w="4046"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color w:val="auto"/>
                <w:kern w:val="0"/>
                <w:sz w:val="24"/>
                <w:szCs w:val="24"/>
              </w:rPr>
            </w:pPr>
            <w:r>
              <w:rPr>
                <w:rFonts w:hint="eastAsia" w:ascii="楷体" w:hAnsi="楷体" w:eastAsia="楷体" w:cs="宋体"/>
                <w:color w:val="auto"/>
                <w:kern w:val="0"/>
                <w:sz w:val="20"/>
                <w:szCs w:val="20"/>
              </w:rPr>
              <w:t>（本列数据的勾稽关系为：第一项加第二项之和，等于第三项加第四项之和）</w:t>
            </w:r>
          </w:p>
        </w:tc>
        <w:tc>
          <w:tcPr>
            <w:tcW w:w="4425"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申请人情况</w:t>
            </w:r>
          </w:p>
        </w:tc>
      </w:tr>
      <w:tr>
        <w:tblPrEx>
          <w:tblCellMar>
            <w:top w:w="0" w:type="dxa"/>
            <w:left w:w="0" w:type="dxa"/>
            <w:bottom w:w="0" w:type="dxa"/>
            <w:right w:w="0" w:type="dxa"/>
          </w:tblCellMar>
        </w:tblPrEx>
        <w:trPr>
          <w:jc w:val="center"/>
        </w:trPr>
        <w:tc>
          <w:tcPr>
            <w:tcW w:w="4046"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466"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自然人</w:t>
            </w:r>
          </w:p>
        </w:tc>
        <w:tc>
          <w:tcPr>
            <w:tcW w:w="3443"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法人或其他组织</w:t>
            </w:r>
          </w:p>
        </w:tc>
        <w:tc>
          <w:tcPr>
            <w:tcW w:w="0" w:type="auto"/>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总计</w:t>
            </w:r>
          </w:p>
        </w:tc>
      </w:tr>
      <w:tr>
        <w:tblPrEx>
          <w:tblCellMar>
            <w:top w:w="0" w:type="dxa"/>
            <w:left w:w="0" w:type="dxa"/>
            <w:bottom w:w="0" w:type="dxa"/>
            <w:right w:w="0" w:type="dxa"/>
          </w:tblCellMar>
        </w:tblPrEx>
        <w:trPr>
          <w:jc w:val="center"/>
        </w:trPr>
        <w:tc>
          <w:tcPr>
            <w:tcW w:w="4046"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466" w:type="dxa"/>
            <w:vMerge w:val="continue"/>
            <w:tcBorders>
              <w:top w:val="nil"/>
              <w:left w:val="nil"/>
              <w:bottom w:val="single"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693"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b/>
                <w:bCs/>
                <w:color w:val="auto"/>
                <w:kern w:val="0"/>
                <w:sz w:val="24"/>
                <w:szCs w:val="24"/>
              </w:rPr>
            </w:pPr>
            <w:r>
              <w:rPr>
                <w:rFonts w:hint="eastAsia" w:ascii="宋体" w:hAnsi="宋体" w:cs="宋体"/>
                <w:b/>
                <w:bCs/>
                <w:color w:val="auto"/>
                <w:kern w:val="0"/>
                <w:sz w:val="20"/>
                <w:szCs w:val="20"/>
              </w:rPr>
              <w:t>商业</w:t>
            </w:r>
          </w:p>
          <w:p>
            <w:pPr>
              <w:widowControl/>
              <w:spacing w:line="0" w:lineRule="atLeast"/>
              <w:jc w:val="center"/>
              <w:rPr>
                <w:rFonts w:ascii="宋体" w:hAnsi="宋体" w:cs="宋体"/>
                <w:b/>
                <w:bCs/>
                <w:color w:val="auto"/>
                <w:kern w:val="0"/>
                <w:sz w:val="24"/>
                <w:szCs w:val="24"/>
              </w:rPr>
            </w:pPr>
            <w:r>
              <w:rPr>
                <w:rFonts w:hint="eastAsia" w:ascii="宋体" w:hAnsi="宋体" w:cs="宋体"/>
                <w:b/>
                <w:bCs/>
                <w:color w:val="auto"/>
                <w:kern w:val="0"/>
                <w:sz w:val="20"/>
                <w:szCs w:val="20"/>
              </w:rPr>
              <w:t>企业</w:t>
            </w:r>
          </w:p>
        </w:tc>
        <w:tc>
          <w:tcPr>
            <w:tcW w:w="64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b/>
                <w:bCs/>
                <w:color w:val="auto"/>
                <w:kern w:val="0"/>
                <w:sz w:val="24"/>
                <w:szCs w:val="24"/>
              </w:rPr>
            </w:pPr>
            <w:r>
              <w:rPr>
                <w:rFonts w:hint="eastAsia" w:ascii="宋体" w:hAnsi="宋体" w:cs="宋体"/>
                <w:b/>
                <w:bCs/>
                <w:color w:val="auto"/>
                <w:kern w:val="0"/>
                <w:sz w:val="20"/>
                <w:szCs w:val="20"/>
              </w:rPr>
              <w:t>科研</w:t>
            </w:r>
          </w:p>
          <w:p>
            <w:pPr>
              <w:widowControl/>
              <w:spacing w:line="0" w:lineRule="atLeast"/>
              <w:jc w:val="center"/>
              <w:rPr>
                <w:rFonts w:ascii="宋体" w:hAnsi="宋体" w:cs="宋体"/>
                <w:b/>
                <w:bCs/>
                <w:color w:val="auto"/>
                <w:kern w:val="0"/>
                <w:sz w:val="24"/>
                <w:szCs w:val="24"/>
              </w:rPr>
            </w:pPr>
            <w:r>
              <w:rPr>
                <w:rFonts w:hint="eastAsia" w:ascii="宋体" w:hAnsi="宋体" w:cs="宋体"/>
                <w:b/>
                <w:bCs/>
                <w:color w:val="auto"/>
                <w:kern w:val="0"/>
                <w:sz w:val="20"/>
                <w:szCs w:val="20"/>
              </w:rPr>
              <w:t>机构</w:t>
            </w:r>
          </w:p>
        </w:tc>
        <w:tc>
          <w:tcPr>
            <w:tcW w:w="756"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b/>
                <w:bCs/>
                <w:color w:val="auto"/>
                <w:kern w:val="0"/>
                <w:sz w:val="24"/>
                <w:szCs w:val="24"/>
              </w:rPr>
            </w:pPr>
            <w:r>
              <w:rPr>
                <w:rFonts w:hint="eastAsia" w:ascii="宋体" w:hAnsi="宋体" w:cs="宋体"/>
                <w:b/>
                <w:bCs/>
                <w:color w:val="auto"/>
                <w:kern w:val="0"/>
                <w:sz w:val="20"/>
                <w:szCs w:val="20"/>
              </w:rPr>
              <w:t>社会公益组织</w:t>
            </w:r>
          </w:p>
        </w:tc>
        <w:tc>
          <w:tcPr>
            <w:tcW w:w="83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b/>
                <w:bCs/>
                <w:color w:val="auto"/>
                <w:kern w:val="0"/>
                <w:sz w:val="24"/>
                <w:szCs w:val="24"/>
              </w:rPr>
            </w:pPr>
            <w:r>
              <w:rPr>
                <w:rFonts w:hint="eastAsia" w:ascii="宋体" w:hAnsi="宋体" w:cs="宋体"/>
                <w:b/>
                <w:bCs/>
                <w:color w:val="auto"/>
                <w:kern w:val="0"/>
                <w:sz w:val="20"/>
                <w:szCs w:val="20"/>
              </w:rPr>
              <w:t>法律服务机构</w:t>
            </w:r>
          </w:p>
        </w:tc>
        <w:tc>
          <w:tcPr>
            <w:tcW w:w="0" w:type="auto"/>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其他</w:t>
            </w:r>
          </w:p>
        </w:tc>
        <w:tc>
          <w:tcPr>
            <w:tcW w:w="0" w:type="auto"/>
            <w:vMerge w:val="continue"/>
            <w:tcBorders>
              <w:top w:val="single" w:color="auto" w:sz="8" w:space="0"/>
              <w:left w:val="nil"/>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r>
      <w:tr>
        <w:tblPrEx>
          <w:tblCellMar>
            <w:top w:w="0" w:type="dxa"/>
            <w:left w:w="0" w:type="dxa"/>
            <w:bottom w:w="0" w:type="dxa"/>
            <w:right w:w="0" w:type="dxa"/>
          </w:tblCellMar>
        </w:tblPrEx>
        <w:trPr>
          <w:trHeight w:val="587" w:hRule="atLeast"/>
          <w:jc w:val="center"/>
        </w:trPr>
        <w:tc>
          <w:tcPr>
            <w:tcW w:w="4046"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一、本年新收政府信息公开申请数量</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trHeight w:val="518" w:hRule="atLeast"/>
          <w:jc w:val="center"/>
        </w:trPr>
        <w:tc>
          <w:tcPr>
            <w:tcW w:w="4046"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二、上年结转政府信息公开申请数量</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trHeight w:val="524" w:hRule="atLeast"/>
          <w:jc w:val="center"/>
        </w:trPr>
        <w:tc>
          <w:tcPr>
            <w:tcW w:w="0" w:type="auto"/>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三、本年度办理结果</w:t>
            </w:r>
          </w:p>
        </w:tc>
        <w:tc>
          <w:tcPr>
            <w:tcW w:w="3207"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（一）予以公开</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tc>
      </w:tr>
      <w:tr>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3207"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（二）部分公开</w:t>
            </w:r>
            <w:r>
              <w:rPr>
                <w:rFonts w:hint="eastAsia" w:ascii="楷体" w:hAnsi="楷体" w:eastAsia="楷体" w:cs="宋体"/>
                <w:b/>
                <w:bCs/>
                <w:color w:val="auto"/>
                <w:kern w:val="0"/>
                <w:sz w:val="20"/>
                <w:szCs w:val="20"/>
              </w:rPr>
              <w:t>（区分处理的，只计这一情形，不计其他情形）</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trHeight w:val="649"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（三）不予公开</w:t>
            </w:r>
          </w:p>
        </w:tc>
        <w:tc>
          <w:tcPr>
            <w:tcW w:w="2262"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1.属于国家秘密</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continue"/>
            <w:tcBorders>
              <w:top w:val="nil"/>
              <w:left w:val="nil"/>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2262"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2.其他法律行政法规禁止公开</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continue"/>
            <w:tcBorders>
              <w:top w:val="nil"/>
              <w:left w:val="nil"/>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2262"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3.危及“三安全一稳定”</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continue"/>
            <w:tcBorders>
              <w:top w:val="nil"/>
              <w:left w:val="nil"/>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2262"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4.保护第三方合法权益</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tc>
      </w:tr>
      <w:tr>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continue"/>
            <w:tcBorders>
              <w:top w:val="nil"/>
              <w:left w:val="nil"/>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2262"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5.属于三类内部事务信息</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continue"/>
            <w:tcBorders>
              <w:top w:val="nil"/>
              <w:left w:val="nil"/>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2262"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6.属于四类过程性信息</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continue"/>
            <w:tcBorders>
              <w:top w:val="nil"/>
              <w:left w:val="nil"/>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2262"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7.属于行政执法案卷</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continue"/>
            <w:tcBorders>
              <w:top w:val="nil"/>
              <w:left w:val="nil"/>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2262"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8.属于行政查询事项</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tc>
      </w:tr>
      <w:tr>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（四）无法提供</w:t>
            </w:r>
          </w:p>
        </w:tc>
        <w:tc>
          <w:tcPr>
            <w:tcW w:w="2262"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1.本机关不掌握相关政府信息</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continue"/>
            <w:tcBorders>
              <w:top w:val="nil"/>
              <w:left w:val="nil"/>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2262"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2.没有现成信息需要另行制作</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tc>
      </w:tr>
      <w:tr>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continue"/>
            <w:tcBorders>
              <w:top w:val="nil"/>
              <w:left w:val="nil"/>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2262"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3.补正后申请内容仍不明确</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trHeight w:val="550"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（五）不予处理</w:t>
            </w:r>
          </w:p>
        </w:tc>
        <w:tc>
          <w:tcPr>
            <w:tcW w:w="2262"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1.信访举报投诉类申请</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trHeight w:val="562"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continue"/>
            <w:tcBorders>
              <w:top w:val="nil"/>
              <w:left w:val="nil"/>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2262"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2.重复申请</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continue"/>
            <w:tcBorders>
              <w:top w:val="nil"/>
              <w:left w:val="nil"/>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2262"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3.要求提供公开出版物</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continue"/>
            <w:tcBorders>
              <w:top w:val="nil"/>
              <w:left w:val="nil"/>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2262"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4.无正当理由大量反复申请</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楷体_GB2312" w:hAnsi="楷体_GB2312" w:eastAsia="楷体_GB2312" w:cs="楷体_GB2312"/>
                <w:color w:val="auto"/>
                <w:kern w:val="0"/>
                <w:sz w:val="24"/>
                <w:szCs w:val="24"/>
              </w:rPr>
            </w:pPr>
          </w:p>
        </w:tc>
      </w:tr>
      <w:tr>
        <w:tblPrEx>
          <w:tblCellMar>
            <w:top w:w="0" w:type="dxa"/>
            <w:left w:w="0" w:type="dxa"/>
            <w:bottom w:w="0" w:type="dxa"/>
            <w:right w:w="0" w:type="dxa"/>
          </w:tblCellMar>
        </w:tblPrEx>
        <w:trPr>
          <w:trHeight w:val="779"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continue"/>
            <w:tcBorders>
              <w:top w:val="nil"/>
              <w:left w:val="nil"/>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2262"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rPr>
                <w:rFonts w:ascii="宋体" w:hAnsi="宋体" w:cs="宋体"/>
                <w:b/>
                <w:bCs/>
                <w:color w:val="auto"/>
                <w:kern w:val="0"/>
                <w:sz w:val="24"/>
                <w:szCs w:val="24"/>
              </w:rPr>
            </w:pPr>
            <w:r>
              <w:rPr>
                <w:rFonts w:hint="eastAsia" w:ascii="宋体" w:hAnsi="宋体" w:cs="宋体"/>
                <w:b/>
                <w:bCs/>
                <w:color w:val="auto"/>
                <w:kern w:val="0"/>
                <w:sz w:val="20"/>
                <w:szCs w:val="20"/>
              </w:rPr>
              <w:t>5.要求行政机关确认或重新出具已获取信息</w:t>
            </w:r>
          </w:p>
        </w:tc>
        <w:tc>
          <w:tcPr>
            <w:tcW w:w="4425" w:type="dxa"/>
            <w:gridSpan w:val="7"/>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r>
      <w:tr>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（六）其他处理</w:t>
            </w:r>
          </w:p>
        </w:tc>
        <w:tc>
          <w:tcPr>
            <w:tcW w:w="2262"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cs="宋体"/>
                <w:b/>
                <w:bCs/>
                <w:color w:val="auto"/>
                <w:kern w:val="0"/>
                <w:sz w:val="24"/>
                <w:szCs w:val="24"/>
              </w:rPr>
            </w:pPr>
            <w:r>
              <w:rPr>
                <w:rFonts w:hint="eastAsia" w:ascii="宋体" w:hAnsi="宋体" w:cs="宋体"/>
                <w:b/>
                <w:bCs/>
                <w:color w:val="auto"/>
                <w:kern w:val="0"/>
                <w:sz w:val="20"/>
                <w:szCs w:val="20"/>
              </w:rPr>
              <w:t>1.申请人无正当理由逾期不补正、行政机关不再处理其政府信息公开申请</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2262"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cs="宋体"/>
                <w:b/>
                <w:bCs/>
                <w:color w:val="auto"/>
                <w:kern w:val="0"/>
                <w:sz w:val="24"/>
                <w:szCs w:val="24"/>
              </w:rPr>
            </w:pPr>
            <w:r>
              <w:rPr>
                <w:rFonts w:hint="eastAsia" w:ascii="宋体" w:hAnsi="宋体" w:cs="宋体"/>
                <w:b/>
                <w:bCs/>
                <w:color w:val="auto"/>
                <w:kern w:val="0"/>
                <w:sz w:val="20"/>
                <w:szCs w:val="20"/>
              </w:rPr>
              <w:t>2.申请人逾期未按收费通知要求缴纳费用、行政机关不再处理其政府信息公开申请</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trHeight w:val="699"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945" w:type="dxa"/>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2262"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3.其他</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trHeight w:val="500"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3207"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（七）总计</w:t>
            </w:r>
          </w:p>
        </w:tc>
        <w:tc>
          <w:tcPr>
            <w:tcW w:w="46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93"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4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75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83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0" w:type="auto"/>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0" w:type="auto"/>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trHeight w:val="732" w:hRule="atLeast"/>
          <w:jc w:val="center"/>
        </w:trPr>
        <w:tc>
          <w:tcPr>
            <w:tcW w:w="4046"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b/>
                <w:bCs/>
                <w:color w:val="auto"/>
                <w:kern w:val="0"/>
                <w:sz w:val="24"/>
                <w:szCs w:val="24"/>
              </w:rPr>
            </w:pPr>
            <w:r>
              <w:rPr>
                <w:rFonts w:hint="eastAsia" w:ascii="宋体" w:hAnsi="宋体" w:cs="宋体"/>
                <w:b/>
                <w:bCs/>
                <w:color w:val="auto"/>
                <w:kern w:val="0"/>
                <w:sz w:val="20"/>
                <w:szCs w:val="20"/>
              </w:rPr>
              <w:t>四、结转下年度继续办理</w:t>
            </w:r>
          </w:p>
        </w:tc>
        <w:tc>
          <w:tcPr>
            <w:tcW w:w="4425"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楷体_GB2312" w:hAnsi="楷体_GB2312" w:eastAsia="楷体_GB2312" w:cs="楷体_GB2312"/>
                <w:color w:val="auto"/>
                <w:kern w:val="0"/>
                <w:sz w:val="24"/>
                <w:szCs w:val="24"/>
              </w:rPr>
            </w:pPr>
          </w:p>
        </w:tc>
      </w:tr>
    </w:tbl>
    <w:p>
      <w:pPr>
        <w:widowControl/>
        <w:shd w:val="clear" w:color="auto" w:fill="FFFFFF"/>
        <w:ind w:firstLine="480" w:firstLineChars="150"/>
        <w:rPr>
          <w:rFonts w:hint="eastAsia" w:ascii="黑体" w:hAnsi="黑体" w:eastAsia="黑体" w:cs="宋体"/>
          <w:color w:val="auto"/>
          <w:kern w:val="0"/>
          <w:sz w:val="32"/>
          <w:szCs w:val="32"/>
        </w:rPr>
      </w:pPr>
    </w:p>
    <w:p>
      <w:pPr>
        <w:widowControl/>
        <w:shd w:val="clear" w:color="auto" w:fill="FFFFFF"/>
        <w:ind w:firstLine="480" w:firstLineChars="150"/>
        <w:rPr>
          <w:rFonts w:hint="eastAsia" w:ascii="黑体" w:hAnsi="黑体" w:eastAsia="黑体" w:cs="宋体"/>
          <w:color w:val="auto"/>
          <w:kern w:val="0"/>
          <w:sz w:val="32"/>
          <w:szCs w:val="32"/>
        </w:rPr>
      </w:pPr>
    </w:p>
    <w:p>
      <w:pPr>
        <w:widowControl/>
        <w:shd w:val="clear" w:color="auto" w:fill="FFFFFF"/>
        <w:ind w:firstLine="480" w:firstLineChars="150"/>
        <w:rPr>
          <w:rFonts w:ascii="黑体" w:hAnsi="黑体" w:eastAsia="黑体" w:cs="宋体"/>
          <w:color w:val="auto"/>
          <w:kern w:val="0"/>
          <w:sz w:val="32"/>
          <w:szCs w:val="32"/>
        </w:rPr>
      </w:pPr>
      <w:r>
        <w:rPr>
          <w:rFonts w:hint="eastAsia" w:ascii="黑体" w:hAnsi="黑体" w:eastAsia="黑体" w:cs="宋体"/>
          <w:color w:val="auto"/>
          <w:kern w:val="0"/>
          <w:sz w:val="32"/>
          <w:szCs w:val="32"/>
        </w:rPr>
        <w:t>四、政府信息公开行政复议、行政诉讼情况</w:t>
      </w:r>
    </w:p>
    <w:tbl>
      <w:tblPr>
        <w:tblStyle w:val="4"/>
        <w:tblW w:w="9748" w:type="dxa"/>
        <w:jc w:val="center"/>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行政复议</w:t>
            </w:r>
          </w:p>
        </w:tc>
        <w:tc>
          <w:tcPr>
            <w:tcW w:w="6428"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行政诉讼</w:t>
            </w:r>
          </w:p>
        </w:tc>
      </w:tr>
      <w:tr>
        <w:tblPrEx>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结果维持</w:t>
            </w:r>
          </w:p>
        </w:tc>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结果</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纠正</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其他</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结果</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尚未</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审结</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总计</w:t>
            </w:r>
          </w:p>
        </w:tc>
        <w:tc>
          <w:tcPr>
            <w:tcW w:w="3213"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b/>
                <w:bCs/>
                <w:color w:val="auto"/>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结果</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维持</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结果</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其他</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尚未</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总计</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结果</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维持</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结果</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其他</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尚未</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0"/>
                <w:szCs w:val="20"/>
              </w:rPr>
              <w:t>总计</w:t>
            </w:r>
          </w:p>
        </w:tc>
      </w:tr>
      <w:tr>
        <w:tblPrEx>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color w:val="auto"/>
                <w:kern w:val="0"/>
                <w:sz w:val="24"/>
                <w:szCs w:val="24"/>
              </w:rPr>
            </w:pPr>
          </w:p>
        </w:tc>
      </w:tr>
      <w:bookmarkEnd w:id="0"/>
    </w:tbl>
    <w:p>
      <w:pPr>
        <w:widowControl/>
        <w:shd w:val="clear" w:color="auto" w:fill="FFFFFF"/>
        <w:ind w:firstLine="480"/>
        <w:rPr>
          <w:rFonts w:ascii="宋体" w:hAnsi="宋体" w:eastAsia="宋体" w:cs="宋体"/>
          <w:color w:val="auto"/>
          <w:kern w:val="0"/>
          <w:sz w:val="24"/>
          <w:szCs w:val="24"/>
        </w:rPr>
      </w:pPr>
    </w:p>
    <w:p>
      <w:pPr>
        <w:widowControl/>
        <w:shd w:val="clear" w:color="auto" w:fill="FFFFFF"/>
        <w:ind w:firstLine="640" w:firstLineChars="200"/>
        <w:rPr>
          <w:rFonts w:ascii="黑体" w:hAnsi="黑体" w:eastAsia="黑体" w:cs="宋体"/>
          <w:color w:val="auto"/>
          <w:kern w:val="0"/>
          <w:sz w:val="32"/>
          <w:szCs w:val="32"/>
        </w:rPr>
      </w:pPr>
      <w:r>
        <w:rPr>
          <w:rFonts w:hint="eastAsia" w:ascii="黑体" w:hAnsi="黑体" w:eastAsia="黑体" w:cs="宋体"/>
          <w:color w:val="auto"/>
          <w:kern w:val="0"/>
          <w:sz w:val="32"/>
          <w:szCs w:val="32"/>
        </w:rPr>
        <w:t>五、存在的主要问题及改进情况</w:t>
      </w:r>
    </w:p>
    <w:p>
      <w:pPr>
        <w:widowControl/>
        <w:shd w:val="clear" w:color="auto" w:fill="FFFFFF"/>
        <w:spacing w:line="560" w:lineRule="exact"/>
        <w:ind w:firstLine="640" w:firstLineChars="200"/>
        <w:rPr>
          <w:rFonts w:ascii="仿宋_GB2312" w:hAnsi="宋体" w:eastAsia="仿宋_GB2312" w:cs="仿宋_GB2312"/>
          <w:color w:val="auto"/>
          <w:sz w:val="32"/>
          <w:szCs w:val="32"/>
          <w:lang w:bidi="ar"/>
        </w:rPr>
      </w:pPr>
      <w:r>
        <w:rPr>
          <w:rFonts w:hint="eastAsia" w:ascii="仿宋_GB2312" w:hAnsi="宋体" w:eastAsia="仿宋_GB2312" w:cs="仿宋_GB2312"/>
          <w:color w:val="auto"/>
          <w:sz w:val="32"/>
          <w:szCs w:val="32"/>
          <w:lang w:bidi="ar"/>
        </w:rPr>
        <w:t>2023年在政府信息公开工作中取得了一定的成果，但总体上看还是存在一些问题和不足，主要体现在：一是认识还有不足，少数人员对于政务公开的重要意义认识不足，认为工作就是负责人员的，与自己无关；二是人员相对较少，无专职人员从事政府信息公开工作；三是公开的内容和形式上相对单一，还不够丰富；四是有的公开内容还不够规范、不够具体，重点不够突出，内容还有待深化。</w:t>
      </w:r>
    </w:p>
    <w:p>
      <w:pPr>
        <w:widowControl/>
        <w:shd w:val="clear" w:color="auto" w:fill="FFFFFF"/>
        <w:spacing w:line="560" w:lineRule="exact"/>
        <w:ind w:firstLine="640" w:firstLineChars="200"/>
        <w:rPr>
          <w:rFonts w:ascii="仿宋_GB2312" w:hAnsi="宋体" w:eastAsia="仿宋_GB2312" w:cs="仿宋_GB2312"/>
          <w:color w:val="auto"/>
          <w:sz w:val="32"/>
          <w:szCs w:val="32"/>
          <w:lang w:bidi="ar"/>
        </w:rPr>
      </w:pPr>
      <w:r>
        <w:rPr>
          <w:rFonts w:hint="eastAsia" w:ascii="仿宋_GB2312" w:hAnsi="宋体" w:eastAsia="仿宋_GB2312" w:cs="仿宋_GB2312"/>
          <w:color w:val="auto"/>
          <w:sz w:val="32"/>
          <w:szCs w:val="32"/>
          <w:lang w:bidi="ar"/>
        </w:rPr>
        <w:t>2</w:t>
      </w:r>
      <w:r>
        <w:rPr>
          <w:rFonts w:ascii="仿宋_GB2312" w:hAnsi="宋体" w:eastAsia="仿宋_GB2312" w:cs="仿宋_GB2312"/>
          <w:color w:val="auto"/>
          <w:sz w:val="32"/>
          <w:szCs w:val="32"/>
          <w:lang w:bidi="ar"/>
        </w:rPr>
        <w:t>02</w:t>
      </w:r>
      <w:r>
        <w:rPr>
          <w:rFonts w:hint="eastAsia" w:ascii="仿宋_GB2312" w:hAnsi="宋体" w:eastAsia="仿宋_GB2312" w:cs="仿宋_GB2312"/>
          <w:color w:val="auto"/>
          <w:sz w:val="32"/>
          <w:szCs w:val="32"/>
          <w:lang w:bidi="ar"/>
        </w:rPr>
        <w:t>4年临夏州气象局将持续按照省气象局和州委州政府对政务信息公开工作的要求，一是进一步统一对政务工作的认识，积极主动开展相关业务培训，努力提高职工思想认识；二是进一步完善工作机制，将政务公开与业务工作紧密结合，深化政务公开内容，提高工作透明度；三是进一步加强政务信息公开队伍建设，主动学习其他单位的先进经验做法，不断提高政务信息公开工作人员的业务水平和综合素质。四是进一步加强常态化督导，把政务公开作为一项重要内容，定期开展督查指导，发现问题及时整改，确保全局政务公开工作的有序推进。</w:t>
      </w:r>
    </w:p>
    <w:p>
      <w:pPr>
        <w:widowControl/>
        <w:shd w:val="clear" w:color="auto" w:fill="FFFFFF"/>
        <w:ind w:firstLine="640" w:firstLineChars="200"/>
        <w:rPr>
          <w:rFonts w:ascii="黑体" w:hAnsi="黑体" w:eastAsia="黑体" w:cs="宋体"/>
          <w:color w:val="auto"/>
          <w:kern w:val="0"/>
          <w:sz w:val="32"/>
          <w:szCs w:val="32"/>
        </w:rPr>
      </w:pPr>
      <w:r>
        <w:rPr>
          <w:rFonts w:hint="eastAsia" w:ascii="黑体" w:hAnsi="黑体" w:eastAsia="黑体" w:cs="宋体"/>
          <w:color w:val="auto"/>
          <w:kern w:val="0"/>
          <w:sz w:val="32"/>
          <w:szCs w:val="32"/>
        </w:rPr>
        <w:t>六、其他需要报告的事项</w:t>
      </w:r>
    </w:p>
    <w:p>
      <w:pPr>
        <w:widowControl/>
        <w:shd w:val="clear" w:color="auto" w:fill="FFFFFF"/>
        <w:spacing w:line="560" w:lineRule="exact"/>
        <w:ind w:firstLine="640" w:firstLineChars="200"/>
        <w:rPr>
          <w:rFonts w:ascii="仿宋_GB2312" w:hAnsi="宋体" w:eastAsia="仿宋_GB2312" w:cs="仿宋_GB2312"/>
          <w:color w:val="auto"/>
          <w:sz w:val="32"/>
          <w:szCs w:val="32"/>
          <w:lang w:bidi="ar"/>
        </w:rPr>
      </w:pPr>
      <w:r>
        <w:rPr>
          <w:rFonts w:hint="eastAsia" w:ascii="仿宋_GB2312" w:hAnsi="宋体" w:eastAsia="仿宋_GB2312" w:cs="仿宋_GB2312"/>
          <w:color w:val="auto"/>
          <w:sz w:val="32"/>
          <w:szCs w:val="32"/>
          <w:lang w:bidi="ar"/>
        </w:rPr>
        <w:t>临夏州气象局没有其他需要报告的事项。</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962"/>
    <w:rsid w:val="00062B82"/>
    <w:rsid w:val="00066353"/>
    <w:rsid w:val="000B1B80"/>
    <w:rsid w:val="000B528D"/>
    <w:rsid w:val="000D2681"/>
    <w:rsid w:val="000E2878"/>
    <w:rsid w:val="000F7579"/>
    <w:rsid w:val="00130D88"/>
    <w:rsid w:val="001954D9"/>
    <w:rsid w:val="001C30B8"/>
    <w:rsid w:val="001C594A"/>
    <w:rsid w:val="001E10A9"/>
    <w:rsid w:val="002219D0"/>
    <w:rsid w:val="00264577"/>
    <w:rsid w:val="0027025A"/>
    <w:rsid w:val="002865A2"/>
    <w:rsid w:val="002A00FB"/>
    <w:rsid w:val="002D745C"/>
    <w:rsid w:val="002E611C"/>
    <w:rsid w:val="00445983"/>
    <w:rsid w:val="0045528E"/>
    <w:rsid w:val="005003CA"/>
    <w:rsid w:val="00502308"/>
    <w:rsid w:val="005546E7"/>
    <w:rsid w:val="00582AB8"/>
    <w:rsid w:val="005A2669"/>
    <w:rsid w:val="005B3729"/>
    <w:rsid w:val="005C24CF"/>
    <w:rsid w:val="00657EF5"/>
    <w:rsid w:val="006A268E"/>
    <w:rsid w:val="006C1957"/>
    <w:rsid w:val="00722625"/>
    <w:rsid w:val="00730962"/>
    <w:rsid w:val="00753D10"/>
    <w:rsid w:val="007819FB"/>
    <w:rsid w:val="007C71D6"/>
    <w:rsid w:val="007E0D69"/>
    <w:rsid w:val="007F2796"/>
    <w:rsid w:val="008862E9"/>
    <w:rsid w:val="008C6320"/>
    <w:rsid w:val="008C7FD3"/>
    <w:rsid w:val="008E1CD8"/>
    <w:rsid w:val="0090544C"/>
    <w:rsid w:val="00984295"/>
    <w:rsid w:val="00985631"/>
    <w:rsid w:val="009B2698"/>
    <w:rsid w:val="009E2ED1"/>
    <w:rsid w:val="00A424A1"/>
    <w:rsid w:val="00A672C0"/>
    <w:rsid w:val="00AA3931"/>
    <w:rsid w:val="00C35857"/>
    <w:rsid w:val="00C70CF9"/>
    <w:rsid w:val="00CA2F67"/>
    <w:rsid w:val="00CB5B36"/>
    <w:rsid w:val="00CF38A5"/>
    <w:rsid w:val="00D1425B"/>
    <w:rsid w:val="00D23BB1"/>
    <w:rsid w:val="00D91DF0"/>
    <w:rsid w:val="00D9681C"/>
    <w:rsid w:val="00DB76D5"/>
    <w:rsid w:val="00E7213E"/>
    <w:rsid w:val="00EA61B3"/>
    <w:rsid w:val="00ED7375"/>
    <w:rsid w:val="00EF7954"/>
    <w:rsid w:val="00F0308A"/>
    <w:rsid w:val="00F42825"/>
    <w:rsid w:val="00F45136"/>
    <w:rsid w:val="00FC22EA"/>
    <w:rsid w:val="EBFFF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360</Words>
  <Characters>2058</Characters>
  <Lines>17</Lines>
  <Paragraphs>4</Paragraphs>
  <TotalTime>77</TotalTime>
  <ScaleCrop>false</ScaleCrop>
  <LinksUpToDate>false</LinksUpToDate>
  <CharactersWithSpaces>2414</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2022-01-18T09:32:00Z</dcterms:created>
  <dc:creator>苑海燕</dc:creator>
  <cp:lastModifiedBy>苑海燕</cp:lastModifiedBy>
  <dcterms:modified xsi:type="dcterms:W3CDTF">2024-01-29T16:52:02Z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9A4A0873A94243DA3267B765CFA04454</vt:lpwstr>
  </property>
</Properties>
</file>