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before="720" w:beforeLines="300"/>
        <w:ind w:firstLine="0" w:firstLineChars="0"/>
        <w:jc w:val="center"/>
        <w:rPr>
          <w:rFonts w:ascii="黑体" w:eastAsia="黑体" w:hAnsi="黑体"/>
          <w:sz w:val="44"/>
          <w:szCs w:val="44"/>
        </w:rPr>
      </w:pPr>
      <w:bookmarkStart w:id="0" w:name="_Toc109455354"/>
      <w:bookmarkStart w:id="1" w:name="_Toc108238111"/>
      <w:r>
        <w:rPr>
          <w:rFonts w:ascii="黑体" w:eastAsia="黑体" w:hAnsi="黑体" w:hint="eastAsia"/>
          <w:sz w:val="44"/>
          <w:szCs w:val="44"/>
        </w:rPr>
        <w:t>全国防雷减灾综合管理服务平台</w:t>
      </w:r>
    </w:p>
    <w:p>
      <w:pPr>
        <w:spacing w:before="-858993459" w:beforeLines="-2147483648"/>
        <w:ind w:firstLine="0" w:firstLineChars="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年度</w:t>
      </w:r>
      <w:r>
        <w:rPr>
          <w:rFonts w:ascii="黑体" w:eastAsia="黑体" w:hAnsi="黑体"/>
          <w:sz w:val="44"/>
          <w:szCs w:val="44"/>
        </w:rPr>
        <w:t>报告上传</w:t>
      </w:r>
      <w:r>
        <w:rPr>
          <w:rFonts w:ascii="黑体" w:eastAsia="黑体" w:hAnsi="黑体" w:hint="eastAsia"/>
          <w:sz w:val="44"/>
          <w:szCs w:val="44"/>
        </w:rPr>
        <w:t>功能</w:t>
      </w:r>
      <w:r>
        <w:rPr>
          <w:rFonts w:ascii="黑体" w:eastAsia="黑体" w:hAnsi="黑体"/>
          <w:sz w:val="44"/>
          <w:szCs w:val="44"/>
        </w:rPr>
        <w:t>模块</w:t>
      </w:r>
    </w:p>
    <w:p>
      <w:pPr>
        <w:spacing w:before="480" w:beforeLines="200" w:after="480" w:afterLines="200"/>
        <w:ind w:firstLine="1440"/>
        <w:jc w:val="center"/>
        <w:rPr>
          <w:rFonts w:ascii="黑体" w:eastAsia="黑体" w:hAnsi="黑体"/>
          <w:sz w:val="72"/>
          <w:szCs w:val="72"/>
        </w:rPr>
      </w:pPr>
    </w:p>
    <w:p>
      <w:pPr>
        <w:spacing w:before="480" w:beforeLines="200"/>
        <w:ind w:firstLine="0" w:firstLineChars="0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操作</w:t>
      </w:r>
      <w:r>
        <w:rPr>
          <w:rFonts w:ascii="黑体" w:eastAsia="黑体" w:hAnsi="黑体"/>
          <w:sz w:val="72"/>
          <w:szCs w:val="72"/>
        </w:rPr>
        <w:t>手册</w:t>
      </w:r>
    </w:p>
    <w:p>
      <w:pPr>
        <w:spacing w:before="240" w:beforeLines="100" w:after="480" w:afterLines="200" w:line="240" w:lineRule="exact"/>
        <w:ind w:firstLine="0" w:firstLineChars="0"/>
        <w:jc w:val="center"/>
        <w:rPr>
          <w:rFonts w:ascii="黑体" w:eastAsia="黑体" w:hAnsi="黑体"/>
          <w:sz w:val="44"/>
          <w:szCs w:val="72"/>
        </w:rPr>
      </w:pPr>
    </w:p>
    <w:p>
      <w:pPr>
        <w:ind w:firstLine="700" w:firstLineChars="250"/>
        <w:rPr>
          <w:rFonts w:eastAsia="黑体"/>
          <w:sz w:val="36"/>
          <w:szCs w:val="36"/>
        </w:rPr>
      </w:pPr>
    </w:p>
    <w:p>
      <w:pPr>
        <w:ind w:firstLine="700" w:firstLineChars="250"/>
        <w:rPr>
          <w:rFonts w:eastAsia="黑体"/>
          <w:sz w:val="36"/>
          <w:szCs w:val="36"/>
        </w:rPr>
      </w:pPr>
    </w:p>
    <w:p>
      <w:pPr>
        <w:ind w:firstLine="700" w:firstLineChars="250"/>
        <w:rPr>
          <w:rFonts w:eastAsia="黑体"/>
          <w:sz w:val="36"/>
          <w:szCs w:val="36"/>
        </w:rPr>
      </w:pPr>
    </w:p>
    <w:p>
      <w:pPr>
        <w:ind w:firstLine="840" w:firstLineChars="300"/>
        <w:rPr>
          <w:rFonts w:eastAsia="黑体"/>
          <w:sz w:val="36"/>
          <w:szCs w:val="36"/>
        </w:rPr>
      </w:pPr>
    </w:p>
    <w:p>
      <w:pPr>
        <w:ind w:firstLine="840" w:firstLineChars="300"/>
        <w:rPr>
          <w:rFonts w:eastAsia="黑体"/>
          <w:sz w:val="36"/>
          <w:szCs w:val="36"/>
        </w:rPr>
      </w:pPr>
    </w:p>
    <w:p>
      <w:pPr>
        <w:ind w:firstLine="840" w:firstLineChars="300"/>
        <w:rPr>
          <w:rFonts w:eastAsia="黑体"/>
          <w:sz w:val="36"/>
          <w:szCs w:val="36"/>
        </w:rPr>
      </w:pPr>
    </w:p>
    <w:p>
      <w:pPr>
        <w:ind w:firstLine="840" w:firstLineChars="300"/>
        <w:rPr>
          <w:rFonts w:eastAsia="黑体"/>
          <w:sz w:val="36"/>
          <w:szCs w:val="36"/>
        </w:rPr>
      </w:pPr>
    </w:p>
    <w:p>
      <w:pPr>
        <w:ind w:firstLine="840" w:firstLineChars="300"/>
        <w:rPr>
          <w:rFonts w:eastAsia="黑体"/>
          <w:sz w:val="36"/>
          <w:szCs w:val="36"/>
        </w:rPr>
      </w:pPr>
    </w:p>
    <w:p>
      <w:pPr>
        <w:spacing w:before="720" w:beforeLines="300"/>
        <w:ind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2022年3月</w:t>
      </w:r>
      <w:bookmarkEnd w:id="0"/>
      <w:bookmarkEnd w:id="1"/>
    </w:p>
    <w:p>
      <w:pPr>
        <w:ind w:firstLine="883"/>
        <w:jc w:val="center"/>
        <w:rPr>
          <w:b/>
          <w:kern w:val="44"/>
          <w:sz w:val="36"/>
          <w:szCs w:val="44"/>
        </w:rPr>
      </w:pPr>
      <w:r>
        <w:rPr>
          <w:b/>
          <w:kern w:val="44"/>
          <w:sz w:val="44"/>
          <w:szCs w:val="44"/>
        </w:rPr>
        <w:br w:type="page"/>
      </w:r>
    </w:p>
    <w:sdt>
      <w:sdtPr>
        <w:rPr>
          <w:rFonts w:ascii="Times New Roman" w:hAnsi="Times New Roman" w:eastAsiaTheme="minorEastAsia" w:cs="Times New Roman"/>
          <w:color w:val="auto"/>
          <w:sz w:val="28"/>
          <w:szCs w:val="24"/>
          <w:lang w:val="zh-CN"/>
        </w:rPr>
        <w:id w:val="1583402978"/>
        <w:docPartObj>
          <w:docPartGallery w:val="Table of Contents"/>
          <w:docPartUnique/>
        </w:docPartObj>
      </w:sdtPr>
      <w:sdtEndPr>
        <w:rPr>
          <w:rFonts w:ascii="Times New Roman" w:hAnsi="Times New Roman" w:eastAsiaTheme="minorEastAsia" w:cs="Times New Roman"/>
          <w:b/>
          <w:bCs/>
          <w:color w:val="auto"/>
          <w:sz w:val="28"/>
          <w:szCs w:val="24"/>
          <w:lang w:val="zh-CN"/>
        </w:rPr>
      </w:sdtEndPr>
      <w:sdtContent>
        <w:p>
          <w:pPr>
            <w:pStyle w:val="TOCHeading"/>
            <w:ind w:firstLine="560"/>
            <w:jc w:val="center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"_Toc97023569"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z w:val="24"/>
              <w:szCs w:val="24"/>
              <w:lang w:val="zh-CN"/>
            </w:rPr>
            <w:t>1.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Hyperlink"/>
              <w:rFonts w:ascii="黑体" w:eastAsia="黑体" w:hAnsi="黑体" w:hint="eastAsia"/>
              <w:sz w:val="24"/>
              <w:szCs w:val="24"/>
              <w:lang w:val="zh-CN"/>
            </w:rPr>
            <w:t>网址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_Toc97023569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1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"_Toc97023570"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z w:val="24"/>
              <w:szCs w:val="24"/>
              <w:lang w:val="zh-CN"/>
            </w:rPr>
            <w:t>2.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Hyperlink"/>
              <w:rFonts w:ascii="黑体" w:eastAsia="黑体" w:hAnsi="黑体" w:hint="eastAsia"/>
              <w:sz w:val="24"/>
              <w:szCs w:val="24"/>
              <w:lang w:val="zh-CN"/>
            </w:rPr>
            <w:t>帐号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_Toc97023570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1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"_Toc97023571"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z w:val="24"/>
              <w:szCs w:val="24"/>
              <w:lang w:val="zh-CN"/>
            </w:rPr>
            <w:t>3.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Hyperlink"/>
              <w:rFonts w:ascii="黑体" w:eastAsia="黑体" w:hAnsi="黑体" w:hint="eastAsia"/>
              <w:sz w:val="24"/>
              <w:szCs w:val="24"/>
              <w:lang w:val="zh-CN"/>
            </w:rPr>
            <w:t>操作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"_Toc97023573"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3.1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登录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"_Toc97023574"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3.2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忘记密码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"_Toc97023575"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3.3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新增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"_Toc97023576"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3.4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填报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"_Toc97023581"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3.4.1</w:t>
          </w:r>
          <w:r>
            <w:rPr>
              <w:rStyle w:val="Hyperlink"/>
              <w:rFonts w:hint="eastAsia"/>
              <w:sz w:val="24"/>
              <w:szCs w:val="24"/>
            </w:rPr>
            <w:t xml:space="preserve"> 年度报告基本信息表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"_Toc97023582"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3.4.2</w:t>
          </w:r>
          <w:r>
            <w:rPr>
              <w:rStyle w:val="Hyperlink"/>
              <w:rFonts w:hint="eastAsia"/>
              <w:sz w:val="24"/>
              <w:szCs w:val="24"/>
            </w:rPr>
            <w:t xml:space="preserve"> 本部专业技术人员表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"_Toc97023583"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3.4.3</w:t>
          </w:r>
          <w:r>
            <w:rPr>
              <w:rStyle w:val="Hyperlink"/>
              <w:rFonts w:hint="eastAsia"/>
              <w:sz w:val="24"/>
              <w:szCs w:val="24"/>
            </w:rPr>
            <w:t xml:space="preserve"> 分支机构专业技术人员表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"_Toc97023584"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3.4.4</w:t>
          </w:r>
          <w:r>
            <w:rPr>
              <w:rStyle w:val="Hyperlink"/>
              <w:rFonts w:hint="eastAsia"/>
              <w:sz w:val="24"/>
              <w:szCs w:val="24"/>
            </w:rPr>
            <w:t xml:space="preserve"> 检测专用设备情况表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7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"_Toc97023585"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3.4.5</w:t>
          </w:r>
          <w:r>
            <w:rPr>
              <w:rStyle w:val="Hyperlink"/>
              <w:rFonts w:hint="eastAsia"/>
              <w:sz w:val="24"/>
              <w:szCs w:val="24"/>
            </w:rPr>
            <w:t xml:space="preserve"> 检测项目统计表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8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3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"_Toc97023586"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rFonts w:ascii="宋体" w:eastAsia="宋体" w:hAnsi="宋体"/>
              <w:snapToGrid w:val="0"/>
              <w:w w:val="0"/>
              <w:sz w:val="24"/>
              <w:szCs w:val="24"/>
            </w:rPr>
            <w:t>3.4.6</w:t>
          </w:r>
          <w:r>
            <w:rPr>
              <w:rStyle w:val="Hyperlink"/>
              <w:rFonts w:hint="eastAsia"/>
              <w:sz w:val="24"/>
              <w:szCs w:val="24"/>
            </w:rPr>
            <w:t xml:space="preserve"> 上传附件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9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"_Toc97023648"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3.5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提交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_Toc97023648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1"/>
              <w:szCs w:val="22"/>
              <w:lang w:val="en-US"/>
            </w:rPr>
          </w:pPr>
          <w:r>
            <w:rPr>
              <w:rStyle w:val="Hyperlink"/>
              <w:sz w:val="24"/>
              <w:szCs w:val="24"/>
            </w:rPr>
            <w:fldChar w:fldCharType="begin"/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>HYPERLINK \l "_Toc97023649"</w:instrText>
          </w:r>
          <w:r>
            <w:rPr>
              <w:rStyle w:val="Hyperlink"/>
              <w:sz w:val="24"/>
              <w:szCs w:val="24"/>
            </w:rPr>
            <w:instrText xml:space="preserve"> </w:instrText>
          </w:r>
          <w:r>
            <w:rPr>
              <w:rStyle w:val="Hyperlink"/>
              <w:sz w:val="24"/>
              <w:szCs w:val="24"/>
            </w:rPr>
            <w:fldChar w:fldCharType="separate"/>
          </w:r>
          <w:r>
            <w:rPr>
              <w:rStyle w:val="Hyperlink"/>
              <w:sz w:val="24"/>
              <w:szCs w:val="24"/>
              <w:lang w:val="zh-CN"/>
            </w:rPr>
            <w:t>3.6</w:t>
          </w:r>
          <w:r>
            <w:rPr>
              <w:rStyle w:val="Hyperlink"/>
              <w:rFonts w:hint="eastAsia"/>
              <w:sz w:val="24"/>
              <w:szCs w:val="24"/>
              <w:lang w:val="zh-CN"/>
            </w:rPr>
            <w:t xml:space="preserve"> 审批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Hyperlink"/>
              <w:sz w:val="24"/>
              <w:szCs w:val="24"/>
            </w:rPr>
            <w:fldChar w:fldCharType="end"/>
          </w:r>
        </w:p>
        <w:p>
          <w:pPr>
            <w:ind w:firstLine="482"/>
          </w:pPr>
          <w:r>
            <w:rPr>
              <w:b/>
              <w:bCs/>
              <w:sz w:val="24"/>
              <w:lang w:val="zh-CN"/>
            </w:rPr>
            <w:fldChar w:fldCharType="end"/>
          </w:r>
        </w:p>
      </w:sdtContent>
    </w:sdt>
    <w:p>
      <w:pPr>
        <w:ind w:firstLine="643"/>
        <w:rPr>
          <w:b/>
          <w:kern w:val="44"/>
          <w:sz w:val="32"/>
          <w:szCs w:val="44"/>
        </w:rPr>
      </w:pPr>
    </w:p>
    <w:p>
      <w:pPr>
        <w:widowControl w:val="0"/>
        <w:spacing w:line="420" w:lineRule="auto"/>
        <w:ind w:firstLine="560"/>
      </w:pPr>
      <w:bookmarkStart w:id="2" w:name="_Toc23956922"/>
      <w:bookmarkStart w:id="3" w:name="_Toc26845"/>
      <w:bookmarkStart w:id="4" w:name="_Toc516239480"/>
      <w:bookmarkStart w:id="5" w:name="_Toc516239525"/>
      <w:bookmarkStart w:id="6" w:name="_Toc516239602"/>
      <w:bookmarkStart w:id="7" w:name="_Toc516239232"/>
      <w:r>
        <w:br w:type="page"/>
      </w:r>
    </w:p>
    <w:p>
      <w:pPr>
        <w:pStyle w:val="BodyText"/>
        <w:ind w:left="280" w:firstLine="560"/>
        <w:rPr>
          <w:rFonts w:asciiTheme="minorEastAsia" w:eastAsiaTheme="minorEastAsia" w:hAnsiTheme="minorEastAsia"/>
          <w:sz w:val="28"/>
          <w:szCs w:val="28"/>
          <w:lang w:val="zh-CN"/>
        </w:rPr>
      </w:pPr>
      <w:r>
        <w:rPr>
          <w:rFonts w:asciiTheme="minorEastAsia" w:hAnsiTheme="minorEastAsia" w:hint="eastAsia"/>
          <w:b w:val="0"/>
          <w:bCs w:val="0"/>
          <w:spacing w:val="4"/>
          <w:szCs w:val="28"/>
        </w:rPr>
        <w:t>全国防雷减灾综合管理服务平台年度报告</w:t>
      </w:r>
      <w:r>
        <w:rPr>
          <w:rFonts w:asciiTheme="minorEastAsia" w:hAnsiTheme="minorEastAsia" w:hint="eastAsia"/>
          <w:spacing w:val="4"/>
          <w:szCs w:val="28"/>
        </w:rPr>
        <w:t>上</w:t>
      </w:r>
      <w:r>
        <w:rPr>
          <w:rFonts w:asciiTheme="minorEastAsia" w:hAnsiTheme="minorEastAsia"/>
          <w:spacing w:val="4"/>
          <w:szCs w:val="28"/>
        </w:rPr>
        <w:t>传</w:t>
      </w:r>
      <w:r>
        <w:rPr>
          <w:rFonts w:asciiTheme="minorEastAsia" w:hAnsiTheme="minorEastAsia" w:hint="eastAsia"/>
          <w:b w:val="0"/>
          <w:bCs w:val="0"/>
          <w:spacing w:val="4"/>
          <w:szCs w:val="28"/>
        </w:rPr>
        <w:t>功能</w:t>
      </w:r>
      <w:r>
        <w:rPr>
          <w:rFonts w:asciiTheme="minorEastAsia" w:hAnsiTheme="minorEastAsia"/>
          <w:b w:val="0"/>
          <w:bCs w:val="0"/>
          <w:spacing w:val="4"/>
          <w:szCs w:val="28"/>
        </w:rPr>
        <w:t>模块</w:t>
      </w:r>
      <w:r>
        <w:rPr>
          <w:rFonts w:asciiTheme="minorEastAsia" w:hAnsiTheme="minorEastAsia" w:hint="eastAsia"/>
          <w:b w:val="0"/>
          <w:bCs w:val="0"/>
          <w:spacing w:val="4"/>
          <w:szCs w:val="28"/>
        </w:rPr>
        <w:t>主要</w:t>
      </w:r>
      <w:r>
        <w:rPr>
          <w:rFonts w:asciiTheme="minorEastAsia" w:hAnsiTheme="minorEastAsia" w:hint="eastAsia"/>
          <w:spacing w:val="4"/>
          <w:szCs w:val="28"/>
        </w:rPr>
        <w:t>适用</w:t>
      </w:r>
      <w:r>
        <w:rPr>
          <w:rFonts w:asciiTheme="minorEastAsia" w:hAnsiTheme="minorEastAsia"/>
          <w:spacing w:val="4"/>
          <w:szCs w:val="28"/>
        </w:rPr>
        <w:t>于全国防雷检测机构</w:t>
      </w:r>
      <w:r>
        <w:rPr>
          <w:rFonts w:asciiTheme="minorEastAsia" w:hAnsiTheme="minorEastAsia" w:hint="eastAsia"/>
          <w:spacing w:val="4"/>
          <w:szCs w:val="28"/>
        </w:rPr>
        <w:t>用户</w:t>
      </w:r>
      <w:r>
        <w:rPr>
          <w:rFonts w:asciiTheme="minorEastAsia" w:hAnsiTheme="minorEastAsia"/>
          <w:spacing w:val="4"/>
          <w:szCs w:val="28"/>
        </w:rPr>
        <w:t>，上传上一年度</w:t>
      </w:r>
      <w:r>
        <w:rPr>
          <w:rFonts w:asciiTheme="minorEastAsia" w:hAnsiTheme="minorEastAsia" w:hint="eastAsia"/>
          <w:spacing w:val="4"/>
          <w:szCs w:val="28"/>
        </w:rPr>
        <w:t>雷电</w:t>
      </w:r>
      <w:r>
        <w:rPr>
          <w:rFonts w:asciiTheme="minorEastAsia" w:hAnsiTheme="minorEastAsia"/>
          <w:spacing w:val="4"/>
          <w:szCs w:val="28"/>
        </w:rPr>
        <w:t>防护装置检测资质年度报告，</w:t>
      </w:r>
      <w:r>
        <w:rPr>
          <w:rFonts w:asciiTheme="minorEastAsia" w:hAnsiTheme="minorEastAsia" w:hint="eastAsia"/>
          <w:b w:val="0"/>
          <w:bCs w:val="0"/>
          <w:spacing w:val="4"/>
          <w:szCs w:val="28"/>
        </w:rPr>
        <w:t>包括：年度报告基本信息、从业人员信息、分支机构信息、分支机构从业人员信息、仪器设备信息、检测业务信息、附件</w:t>
      </w:r>
      <w:bookmarkStart w:id="8" w:name="_GoBack"/>
      <w:r>
        <w:rPr>
          <w:rFonts w:asciiTheme="minorEastAsia" w:hAnsiTheme="minorEastAsia" w:hint="eastAsia"/>
          <w:b w:val="0"/>
          <w:bCs w:val="0"/>
          <w:spacing w:val="4"/>
          <w:szCs w:val="28"/>
          <w:highlight w:val="none"/>
        </w:rPr>
        <w:t>等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，</w:t>
      </w:r>
      <w:r>
        <w:rPr>
          <w:rFonts w:asciiTheme="minorEastAsia" w:hAnsiTheme="minorEastAsia" w:hint="eastAsia"/>
          <w:spacing w:val="4"/>
          <w:szCs w:val="28"/>
          <w:highlight w:val="none"/>
        </w:rPr>
        <w:t>具体</w:t>
      </w:r>
      <w:r>
        <w:rPr>
          <w:rFonts w:asciiTheme="minorEastAsia" w:hAnsiTheme="minorEastAsia" w:hint="eastAsia"/>
          <w:b w:val="0"/>
          <w:bCs w:val="0"/>
          <w:spacing w:val="4"/>
          <w:szCs w:val="28"/>
          <w:highlight w:val="none"/>
        </w:rPr>
        <w:t>步骤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如下：</w:t>
      </w:r>
      <w:bookmarkEnd w:id="8"/>
    </w:p>
    <w:p>
      <w:pPr>
        <w:pStyle w:val="Heading1"/>
        <w:ind w:left="0" w:firstLine="0"/>
        <w:rPr>
          <w:rFonts w:ascii="黑体" w:eastAsia="黑体" w:hAnsi="黑体"/>
          <w:sz w:val="32"/>
          <w:lang w:val="zh-CN"/>
        </w:rPr>
      </w:pPr>
      <w:bookmarkStart w:id="9" w:name="_Toc97023569"/>
      <w:r>
        <w:rPr>
          <w:rFonts w:ascii="黑体" w:eastAsia="黑体" w:hAnsi="黑体" w:hint="eastAsia"/>
          <w:sz w:val="32"/>
          <w:szCs w:val="32"/>
          <w:lang w:val="zh-CN"/>
        </w:rPr>
        <w:t>网址</w:t>
      </w:r>
      <w:bookmarkEnd w:id="9"/>
    </w:p>
    <w:p>
      <w:pPr>
        <w:widowControl w:val="0"/>
        <w:spacing w:line="240" w:lineRule="auto"/>
        <w:ind w:firstLine="560"/>
        <w:rPr>
          <w:rFonts w:ascii="仿宋" w:hAnsi="仿宋"/>
          <w:kern w:val="2"/>
          <w:szCs w:val="28"/>
        </w:rPr>
      </w:pPr>
      <w:bookmarkEnd w:id="2"/>
      <w:bookmarkEnd w:id="3"/>
      <w:bookmarkStart w:id="10" w:name="_Toc51835211"/>
      <w:bookmarkEnd w:id="10"/>
      <w:bookmarkStart w:id="11" w:name="_Toc17896941"/>
      <w:bookmarkStart w:id="12" w:name="_Toc20347983"/>
      <w:r>
        <w:rPr>
          <w:rFonts w:ascii="仿宋" w:hAnsi="仿宋"/>
          <w:kern w:val="2"/>
          <w:szCs w:val="28"/>
        </w:rPr>
        <w:fldChar w:fldCharType="begin"/>
      </w:r>
      <w:r>
        <w:rPr>
          <w:rFonts w:ascii="仿宋" w:hAnsi="仿宋"/>
          <w:kern w:val="2"/>
          <w:szCs w:val="28"/>
        </w:rPr>
        <w:instrText xml:space="preserve"> HYPERLINK "https://www.qgfljg.cn" </w:instrText>
      </w:r>
      <w:r>
        <w:rPr>
          <w:rFonts w:ascii="仿宋" w:hAnsi="仿宋"/>
          <w:kern w:val="2"/>
          <w:szCs w:val="28"/>
        </w:rPr>
        <w:fldChar w:fldCharType="separate"/>
      </w:r>
      <w:r>
        <w:rPr>
          <w:rStyle w:val="Hyperlink"/>
          <w:rFonts w:ascii="仿宋" w:hAnsi="仿宋"/>
          <w:kern w:val="2"/>
          <w:szCs w:val="28"/>
        </w:rPr>
        <w:t>https://www.qgfljg.cn</w:t>
      </w:r>
      <w:r>
        <w:rPr>
          <w:rFonts w:ascii="仿宋" w:hAnsi="仿宋"/>
          <w:kern w:val="2"/>
          <w:szCs w:val="28"/>
        </w:rPr>
        <w:fldChar w:fldCharType="end"/>
      </w:r>
    </w:p>
    <w:p>
      <w:pPr>
        <w:pStyle w:val="Heading1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3" w:name="_Toc97023570"/>
      <w:r>
        <w:rPr>
          <w:rFonts w:ascii="黑体" w:eastAsia="黑体" w:hAnsi="黑体" w:hint="eastAsia"/>
          <w:sz w:val="32"/>
          <w:szCs w:val="32"/>
          <w:lang w:val="zh-CN"/>
        </w:rPr>
        <w:t>帐号</w:t>
      </w:r>
      <w:bookmarkEnd w:id="13"/>
    </w:p>
    <w:p>
      <w:pPr>
        <w:spacing w:line="240" w:lineRule="auto"/>
        <w:ind w:firstLine="576"/>
        <w:rPr>
          <w:rFonts w:asciiTheme="minorEastAsia" w:eastAsiaTheme="minorEastAsia" w:hAnsiTheme="minorEastAsia"/>
          <w:spacing w:val="4"/>
          <w:sz w:val="28"/>
          <w:szCs w:val="28"/>
        </w:rPr>
      </w:pPr>
      <w:r>
        <w:rPr>
          <w:rFonts w:asciiTheme="minorEastAsia" w:hAnsiTheme="minorEastAsia" w:hint="eastAsia"/>
          <w:spacing w:val="4"/>
          <w:kern w:val="0"/>
          <w:szCs w:val="28"/>
          <w:lang w:val="en-GB"/>
        </w:rPr>
        <w:t>帐号</w:t>
      </w:r>
      <w:r>
        <w:rPr>
          <w:rFonts w:asciiTheme="minorEastAsia" w:hAnsiTheme="minorEastAsia"/>
          <w:spacing w:val="4"/>
          <w:kern w:val="0"/>
          <w:szCs w:val="28"/>
          <w:lang w:val="en-GB"/>
        </w:rPr>
        <w:t>：</w:t>
      </w:r>
      <w:r>
        <w:rPr>
          <w:rFonts w:asciiTheme="minorEastAsia" w:eastAsiaTheme="minorEastAsia" w:hAnsiTheme="minorEastAsia" w:hint="eastAsia"/>
          <w:spacing w:val="4"/>
          <w:sz w:val="28"/>
          <w:szCs w:val="28"/>
        </w:rPr>
        <w:t>防雷检测资质号；默认密码J2Uf5WnF#1</w:t>
      </w:r>
    </w:p>
    <w:p>
      <w:pPr>
        <w:widowControl w:val="0"/>
        <w:spacing w:line="360" w:lineRule="auto"/>
        <w:ind w:firstLine="576"/>
        <w:rPr>
          <w:rFonts w:asciiTheme="minorEastAsia" w:hAnsiTheme="minorEastAsia"/>
          <w:spacing w:val="4"/>
          <w:szCs w:val="28"/>
        </w:rPr>
      </w:pPr>
      <w:r>
        <w:rPr>
          <w:rFonts w:asciiTheme="minorEastAsia" w:eastAsiaTheme="minorEastAsia" w:hAnsiTheme="minorEastAsia" w:hint="eastAsia"/>
          <w:spacing w:val="4"/>
          <w:sz w:val="28"/>
          <w:szCs w:val="28"/>
        </w:rPr>
        <w:t>(注：如果用户自行更改过，则保留更改后的密码</w:t>
      </w:r>
      <w:r>
        <w:rPr>
          <w:rFonts w:asciiTheme="minorEastAsia" w:eastAsiaTheme="minorEastAsia" w:hAnsiTheme="minorEastAsia"/>
          <w:spacing w:val="4"/>
          <w:sz w:val="28"/>
          <w:szCs w:val="28"/>
        </w:rPr>
        <w:t>)</w:t>
      </w:r>
    </w:p>
    <w:p>
      <w:pPr>
        <w:pStyle w:val="Heading1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4" w:name="_Toc97023571"/>
      <w:r>
        <w:rPr>
          <w:rFonts w:ascii="黑体" w:eastAsia="黑体" w:hAnsi="黑体" w:hint="eastAsia"/>
          <w:sz w:val="32"/>
          <w:szCs w:val="32"/>
          <w:lang w:val="zh-CN"/>
        </w:rPr>
        <w:t>操作</w:t>
      </w:r>
      <w:bookmarkEnd w:id="14"/>
    </w:p>
    <w:p>
      <w:pPr>
        <w:pStyle w:val="Heading2"/>
        <w:ind w:left="608" w:hanging="608"/>
        <w:rPr>
          <w:rFonts w:ascii="Times New Roman" w:hAnsi="Times New Roman" w:eastAsiaTheme="minorEastAsia"/>
          <w:lang w:val="zh-CN"/>
        </w:rPr>
      </w:pPr>
      <w:bookmarkStart w:id="15" w:name="_Toc97023573"/>
      <w:r>
        <w:rPr>
          <w:rFonts w:hint="eastAsia"/>
          <w:lang w:val="zh-CN"/>
        </w:rPr>
        <w:t>登录</w:t>
      </w:r>
      <w:bookmarkEnd w:id="15"/>
    </w:p>
    <w:p>
      <w:pPr>
        <w:ind w:firstLine="560"/>
        <w:rPr>
          <w:lang w:val="zh-CN"/>
        </w:rPr>
      </w:pPr>
      <w:bookmarkEnd w:id="11"/>
      <w:bookmarkEnd w:id="12"/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首页右上角“登录”按钮，会跳出登录弹窗，如下图。输入账号密码即可登录。首次登录系统要求更改默认密码。</w:t>
      </w:r>
    </w:p>
    <w:p>
      <w:pPr>
        <w:ind w:left="560" w:firstLine="0" w:firstLineChars="0"/>
        <w:jc w:val="center"/>
      </w:pPr>
      <w:r>
        <w:drawing>
          <wp:inline distT="0" distB="0" distL="0" distR="0">
            <wp:extent cx="3648075" cy="2743835"/>
            <wp:effectExtent l="0" t="0" r="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2007" cy="27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rFonts w:ascii="宋体" w:eastAsia="宋体" w:hAnsi="宋体"/>
          <w:lang w:val="zh-CN"/>
        </w:rPr>
      </w:pPr>
      <w:bookmarkStart w:id="16" w:name="_Toc502"/>
      <w:bookmarkStart w:id="17" w:name="_Toc97023574"/>
      <w:r>
        <w:rPr>
          <w:rFonts w:ascii="宋体" w:eastAsia="宋体" w:hAnsi="宋体" w:hint="eastAsia"/>
          <w:lang w:val="zh-CN"/>
        </w:rPr>
        <w:t>忘记密码</w:t>
      </w:r>
      <w:bookmarkEnd w:id="16"/>
      <w:bookmarkEnd w:id="17"/>
    </w:p>
    <w:p>
      <w:pPr>
        <w:ind w:firstLine="560"/>
        <w:rPr>
          <w:lang w:val="zh-CN"/>
        </w:rPr>
      </w:pPr>
      <w:r>
        <w:rPr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307340</wp:posOffset>
            </wp:positionV>
            <wp:extent cx="4168140" cy="3101975"/>
            <wp:effectExtent l="19050" t="19050" r="22860" b="22225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3101975"/>
                    </a:xfrm>
                    <a:prstGeom prst="rect">
                      <a:avLst/>
                    </a:prstGeom>
                    <a:ln w="9525">
                      <a:solidFill>
                        <a:srgbClr val="00B0F0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zh-CN"/>
        </w:rPr>
        <w:t>忘记密码功能在登录弹窗的右下角，如图。</w:t>
      </w:r>
    </w:p>
    <w:p>
      <w:pPr>
        <w:pStyle w:val="Caption"/>
        <w:ind w:firstLine="400"/>
        <w:jc w:val="left"/>
      </w:pPr>
    </w:p>
    <w:p>
      <w:pPr>
        <w:ind w:firstLine="560"/>
      </w:pPr>
    </w:p>
    <w:p>
      <w:pPr>
        <w:pStyle w:val="Heading2"/>
        <w:ind w:left="608" w:hanging="608"/>
        <w:rPr>
          <w:lang w:val="zh-CN"/>
        </w:rPr>
      </w:pPr>
      <w:bookmarkStart w:id="18" w:name="_Toc97023575"/>
      <w:bookmarkStart w:id="19" w:name="_Toc23956934"/>
      <w:bookmarkStart w:id="20" w:name="_Toc18670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8"/>
    </w:p>
    <w:p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9"/>
      <w:bookmarkEnd w:id="20"/>
    </w:p>
    <w:p>
      <w:pPr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095875" cy="2457450"/>
            <wp:effectExtent l="19050" t="19050" r="28575" b="1905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45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lang w:val="zh-CN"/>
        </w:rPr>
      </w:pPr>
      <w:bookmarkStart w:id="21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1"/>
    </w:p>
    <w:p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>
      <w:pPr>
        <w:pStyle w:val="Heading3"/>
        <w:ind w:left="366" w:firstLine="482"/>
        <w:rPr>
          <w:sz w:val="28"/>
          <w:szCs w:val="28"/>
        </w:rPr>
      </w:pPr>
      <w:bookmarkStart w:id="22" w:name="_Toc97023581"/>
      <w:r>
        <w:rPr>
          <w:rFonts w:hint="eastAsia"/>
          <w:sz w:val="28"/>
          <w:szCs w:val="28"/>
        </w:rPr>
        <w:t>年度报告基本信息表</w:t>
      </w:r>
      <w:bookmarkEnd w:id="22"/>
    </w:p>
    <w:p>
      <w:pPr>
        <w:pStyle w:val="ListParagraph"/>
        <w:ind w:firstLine="560" w:firstLineChars="20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drawing>
          <wp:inline distT="0" distB="0" distL="0" distR="0">
            <wp:extent cx="5918200" cy="5429250"/>
            <wp:effectExtent l="19050" t="19050" r="25400" b="1905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0747" cy="544018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3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>
      <w:pPr>
        <w:pStyle w:val="ListParagraph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姓名、身份证号码、职称、专业、岗位、工作时间、能力评价证书编号、购买社保时段；“-”按钮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>
      <w:pPr>
        <w:ind w:firstLine="199" w:firstLineChars="71"/>
        <w:jc w:val="center"/>
      </w:pPr>
      <w:r>
        <w:rPr>
          <w:lang w:val="en-US"/>
        </w:rPr>
        <w:drawing>
          <wp:inline distT="0" distB="0" distL="0" distR="0">
            <wp:extent cx="4972050" cy="4231640"/>
            <wp:effectExtent l="19050" t="19050" r="19050" b="1651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3304" cy="42328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4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4"/>
    </w:p>
    <w:p>
      <w:pPr>
        <w:pStyle w:val="ListParagraph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>
      <w:pPr>
        <w:pStyle w:val="ListParagraph"/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565775" cy="1875155"/>
            <wp:effectExtent l="19050" t="19050" r="15875" b="1079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8751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Caption"/>
        <w:ind w:firstLine="400"/>
      </w:pP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5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5"/>
    </w:p>
    <w:p>
      <w:pPr>
        <w:pStyle w:val="ListParagraph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>
      <w:pPr>
        <w:pStyle w:val="ListParagraph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</w:rPr>
        <w:t>:检测专用设备名称、型号、数量不能为空。</w:t>
      </w:r>
    </w:p>
    <w:p>
      <w:pPr>
        <w:pStyle w:val="ListParagraph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</w:rPr>
        <w:t>:检测专用设备有变化的，在增加/减少数量一栏填写，减少要在数字前加负号；未变化的无需填写。</w:t>
      </w:r>
    </w:p>
    <w:p>
      <w:pPr>
        <w:pStyle w:val="ListParagraph"/>
        <w:ind w:firstLine="0" w:firstLineChars="0"/>
      </w:pPr>
      <w:r>
        <w:drawing>
          <wp:inline distT="0" distB="0" distL="0" distR="0">
            <wp:extent cx="5565775" cy="4385310"/>
            <wp:effectExtent l="19050" t="19050" r="15875" b="1524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3853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ind w:firstLine="0" w:firstLineChars="0"/>
      </w:pPr>
    </w:p>
    <w:p>
      <w:pPr>
        <w:pStyle w:val="ListParagraph"/>
        <w:ind w:firstLine="0" w:firstLineChars="0"/>
      </w:pPr>
    </w:p>
    <w:p>
      <w:pPr>
        <w:pStyle w:val="ListParagraph"/>
        <w:ind w:firstLine="0" w:firstLineChars="0"/>
        <w:rPr>
          <w:rFonts w:hint="eastAsia"/>
        </w:rPr>
      </w:pP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6" w:name="_Toc97023585"/>
      <w:r>
        <w:rPr>
          <w:rFonts w:hint="eastAsia"/>
          <w:sz w:val="28"/>
          <w:szCs w:val="28"/>
        </w:rPr>
        <w:t>检测项目统计表</w:t>
      </w:r>
      <w:bookmarkEnd w:id="26"/>
    </w:p>
    <w:p>
      <w:pPr>
        <w:pStyle w:val="ListParagraph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内容包括：检测报告编号、项目名称、项目所在地、防雷类别、建(构)筑物数量、检测类型(定期检测/新扩改检测)、合同编号、完成时间。</w:t>
      </w:r>
    </w:p>
    <w:p>
      <w:pPr>
        <w:ind w:firstLine="0" w:firstLineChars="0"/>
      </w:pPr>
      <w:r>
        <w:drawing>
          <wp:inline distT="0" distB="0" distL="0" distR="0">
            <wp:extent cx="5565775" cy="4692650"/>
            <wp:effectExtent l="19050" t="19050" r="15875" b="1270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6926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3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7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7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ascii="宋体" w:hAnsi="宋体" w:hint="eastAsia"/>
          <w:lang w:val="en-US"/>
        </w:rPr>
        <w:t>。</w:t>
      </w:r>
    </w:p>
    <w:p>
      <w:pPr>
        <w:ind w:firstLine="0" w:firstLineChars="0"/>
        <w:rPr>
          <w:b/>
        </w:rPr>
      </w:pPr>
      <w:r>
        <w:drawing>
          <wp:inline distT="0" distB="0" distL="0" distR="0">
            <wp:extent cx="5565775" cy="1519555"/>
            <wp:effectExtent l="19050" t="19050" r="15875" b="23495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5195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</w:p>
    <w:p>
      <w:pPr>
        <w:pStyle w:val="Heading2"/>
        <w:ind w:left="608" w:hanging="608"/>
        <w:rPr>
          <w:lang w:val="zh-CN"/>
        </w:rPr>
      </w:pPr>
      <w:bookmarkStart w:id="28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8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drawing>
          <wp:inline distT="0" distB="0" distL="0" distR="0">
            <wp:extent cx="5565775" cy="2724785"/>
            <wp:effectExtent l="19050" t="19050" r="15875" b="18415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27247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  <w:r>
        <w:rPr>
          <w:lang w:val="en-US"/>
        </w:rPr>
        <w:drawing>
          <wp:inline distT="0" distB="0" distL="0" distR="0">
            <wp:extent cx="5565775" cy="504825"/>
            <wp:effectExtent l="19050" t="19050" r="15875" b="2857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04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Heading2"/>
        <w:ind w:left="608" w:hanging="608"/>
        <w:rPr>
          <w:lang w:val="zh-CN"/>
        </w:rPr>
      </w:pPr>
      <w:bookmarkStart w:id="29" w:name="_Toc97023649"/>
      <w:r>
        <w:rPr>
          <w:rFonts w:hint="eastAsia"/>
          <w:lang w:val="zh-CN"/>
        </w:rPr>
        <w:t>审批</w:t>
      </w:r>
      <w:bookmarkEnd w:id="29"/>
    </w:p>
    <w:p>
      <w:pPr>
        <w:pStyle w:val="ListParagraph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击“2021年</w:t>
      </w:r>
      <w:r>
        <w:t>度报告”</w:t>
      </w:r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p>
      <w:pPr>
        <w:ind w:firstLine="0" w:firstLineChars="0"/>
        <w:rPr>
          <w:rFonts w:ascii="宋体" w:hAnsi="宋体"/>
        </w:rPr>
      </w:pPr>
      <w:r>
        <w:drawing>
          <wp:inline distT="0" distB="0" distL="0" distR="0">
            <wp:extent cx="5565775" cy="523875"/>
            <wp:effectExtent l="19050" t="19050" r="15875" b="28575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238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bookmarkEnd w:id="4"/>
      <w:bookmarkEnd w:id="5"/>
      <w:bookmarkEnd w:id="6"/>
      <w:bookmarkEnd w:id="7"/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440" w:bottom="1440" w:left="1701" w:header="779" w:footer="838" w:gutter="0"/>
      <w:pgNumType w:start="1"/>
      <w:cols w:num="1" w:space="720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98895809"/>
      <w:docPartObj>
        <w:docPartGallery w:val="AutoText"/>
      </w:docPartObj>
    </w:sdtPr>
    <w:sdtContent>
      <w:sdt>
        <w:sdtPr>
          <w:id w:val="-1380468340"/>
          <w:docPartObj>
            <w:docPartGallery w:val="AutoText"/>
          </w:docPartObj>
        </w:sdtPr>
        <w:sdtContent>
          <w:p>
            <w:pPr>
              <w:pStyle w:val="Footer"/>
              <w:ind w:firstLine="360"/>
            </w:pPr>
            <w:r>
              <w:t xml:space="preserve">第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  <w:r>
              <w:t>页 /共45页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661238481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 xml:space="preserve">页 </w:t>
        </w:r>
        <w:r>
          <w:t>/共</w:t>
        </w:r>
        <w:r>
          <w:rPr>
            <w:rFonts w:hint="eastAsia"/>
          </w:rPr>
          <w:t>10</w:t>
        </w:r>
        <w:r>
          <w:t>页</w:t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687364273"/>
      <w:docPartObj>
        <w:docPartGallery w:val="AutoText"/>
      </w:docPartObj>
    </w:sdtPr>
    <w:sdtContent>
      <w:p>
        <w:pPr>
          <w:pStyle w:val="Footer"/>
          <w:ind w:firstLine="560" w:firstLineChars="200"/>
          <w:jc w:val="right"/>
        </w:pPr>
      </w:p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Footer"/>
              <w:ind w:firstLine="560" w:firstLineChars="200"/>
              <w:jc w:val="right"/>
            </w:pPr>
            <w:r>
              <w:t xml:space="preserve">第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t>页 /共10页</w:t>
            </w:r>
          </w:p>
        </w:sdtContent>
      </w:sdt>
      <w:p>
        <w:pPr>
          <w:pStyle w:val="Footer"/>
          <w:ind w:firstLine="560" w:firstLineChars="200"/>
          <w:jc w:val="right"/>
        </w:pP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1" w:color="auto"/>
      </w:pBdr>
      <w:ind w:firstLine="560" w:firstLineChars="2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7E24C56"/>
    <w:multiLevelType w:val="multilevel"/>
    <w:tmpl w:val="27E24C56"/>
    <w:lvl w:ilvl="0">
      <w:start w:val="1"/>
      <w:numFmt w:val="decimal"/>
      <w:pStyle w:val="Heading1"/>
      <w:lvlText w:val="%1."/>
      <w:lvlJc w:val="left"/>
      <w:pPr>
        <w:ind w:left="5806" w:hanging="420"/>
      </w:pPr>
      <w:rPr>
        <w:rFonts w:ascii="宋体" w:eastAsia="宋体" w:hAnsi="宋体" w:hint="default"/>
        <w:sz w:val="36"/>
        <w:szCs w:val="36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425" w:hanging="425"/>
      </w:pPr>
      <w:rPr>
        <w:rFonts w:ascii="宋体" w:eastAsia="宋体" w:hAnsi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7088" w:hanging="425"/>
      </w:pPr>
      <w:rPr>
        <w:rFonts w:ascii="宋体" w:eastAsia="宋体" w:hAnsi="宋体" w:hint="default"/>
        <w:b/>
        <w:i w:val="0"/>
        <w:sz w:val="28"/>
        <w:szCs w:val="28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425" w:hanging="425"/>
      </w:pPr>
      <w:rPr>
        <w:rFonts w:ascii="Times New Roman" w:hAnsi="Times New Roman" w:hint="default"/>
        <w:sz w:val="24"/>
        <w:szCs w:val="24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0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semiHidden="0" w:uiPriority="0" w:qFormat="1"/>
    <w:lsdException w:name="table of figures"/>
    <w:lsdException w:name="envelope address"/>
    <w:lsdException w:name="envelope return"/>
    <w:lsdException w:name="footnote reference" w:qFormat="1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line="360" w:lineRule="auto"/>
      <w:ind w:firstLine="200" w:firstLineChars="200"/>
      <w:jc w:val="both"/>
    </w:pPr>
    <w:rPr>
      <w:rFonts w:ascii="Times New Roman" w:hAnsi="Times New Roman" w:eastAsiaTheme="minorEastAsia" w:cs="Times New Roman"/>
      <w:sz w:val="28"/>
      <w:szCs w:val="24"/>
      <w:lang w:val="en-GB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numPr>
        <w:ilvl w:val="0"/>
        <w:numId w:val="1"/>
      </w:numPr>
      <w:spacing w:before="260" w:after="120" w:line="360" w:lineRule="auto"/>
      <w:ind w:left="5806" w:hanging="420" w:firstLineChars="0"/>
      <w:jc w:val="both"/>
      <w:outlineLvl w:val="0"/>
    </w:pPr>
    <w:rPr>
      <w:rFonts w:eastAsiaTheme="minorEastAsia"/>
      <w:b/>
      <w:bCs/>
      <w:kern w:val="44"/>
      <w:sz w:val="36"/>
      <w:szCs w:val="44"/>
      <w:lang w:val="en-GB" w:eastAsia="zh-CN" w:bidi="ar-SA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5">
    <w:name w:val="heading 5"/>
    <w:basedOn w:val="Normal"/>
    <w:next w:val="Normal"/>
    <w:link w:val="5Char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6Char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Heading7">
    <w:name w:val="heading 7"/>
    <w:basedOn w:val="Normal"/>
    <w:next w:val="Normal"/>
    <w:link w:val="7Char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link w:val="8Char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9Char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uiPriority w:val="39"/>
    <w:unhideWhenUsed/>
    <w:qFormat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Caption">
    <w:name w:val="caption"/>
    <w:basedOn w:val="Normal"/>
    <w:next w:val="Normal"/>
    <w:link w:val="Char6"/>
    <w:unhideWhenUsed/>
    <w:qFormat/>
    <w:pPr>
      <w:jc w:val="center"/>
    </w:pPr>
    <w:rPr>
      <w:rFonts w:eastAsia="黑体" w:asciiTheme="majorHAnsi" w:hAnsiTheme="majorHAnsi" w:cstheme="majorBidi"/>
      <w:sz w:val="20"/>
      <w:szCs w:val="20"/>
    </w:rPr>
  </w:style>
  <w:style w:type="paragraph" w:styleId="CommentText">
    <w:name w:val="annotation text"/>
    <w:basedOn w:val="Normal"/>
    <w:link w:val="Char2"/>
    <w:uiPriority w:val="99"/>
    <w:semiHidden/>
    <w:unhideWhenUsed/>
    <w:qFormat/>
  </w:style>
  <w:style w:type="paragraph" w:styleId="BodyText">
    <w:name w:val="Body Text"/>
    <w:basedOn w:val="Normal"/>
    <w:link w:val="Char10"/>
    <w:qFormat/>
    <w:pPr>
      <w:widowControl w:val="0"/>
      <w:spacing w:after="120"/>
      <w:ind w:left="100" w:leftChars="100"/>
    </w:pPr>
    <w:rPr>
      <w:rFonts w:ascii="Calibri" w:eastAsia="宋体" w:hAnsi="Calibri"/>
      <w:kern w:val="2"/>
      <w:sz w:val="21"/>
      <w:lang w:val="en-US"/>
    </w:rPr>
  </w:style>
  <w:style w:type="paragraph" w:styleId="TOC5">
    <w:name w:val="toc 5"/>
    <w:basedOn w:val="Normal"/>
    <w:next w:val="Normal"/>
    <w:uiPriority w:val="39"/>
    <w:unhideWhenUsed/>
    <w:qFormat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Normal"/>
    <w:next w:val="Normal"/>
    <w:uiPriority w:val="39"/>
    <w:unhideWhenUsed/>
    <w:qFormat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Date">
    <w:name w:val="Date"/>
    <w:basedOn w:val="Normal"/>
    <w:next w:val="Normal"/>
    <w:link w:val="Char1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4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paragraph" w:styleId="Header">
    <w:name w:val="header"/>
    <w:basedOn w:val="Normal"/>
    <w:link w:val="Char0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left" w:pos="480"/>
        <w:tab w:val="right" w:leader="middleDot" w:pos="8755"/>
      </w:tabs>
      <w:spacing w:before="120" w:after="120"/>
      <w:jc w:val="center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uiPriority w:val="39"/>
    <w:unhideWhenUsed/>
    <w:qFormat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FootnoteText">
    <w:name w:val="footnote text"/>
    <w:basedOn w:val="Normal"/>
    <w:uiPriority w:val="99"/>
    <w:semiHidden/>
    <w:unhideWhenUsed/>
    <w:qFormat/>
    <w:pPr>
      <w:snapToGrid w:val="0"/>
    </w:pPr>
    <w:rPr>
      <w:sz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Normal"/>
    <w:next w:val="Normal"/>
    <w:uiPriority w:val="39"/>
    <w:unhideWhenUsed/>
    <w:qFormat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CommentSubject">
    <w:name w:val="annotation subject"/>
    <w:basedOn w:val="CommentText"/>
    <w:next w:val="CommentText"/>
    <w:link w:val="Char3"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customStyle="1" w:styleId="a">
    <w:name w:val="目录－标题"/>
    <w:basedOn w:val="Normal"/>
    <w:next w:val="Normal"/>
    <w:qFormat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character" w:customStyle="1" w:styleId="Char">
    <w:name w:val="页脚 Char"/>
    <w:basedOn w:val="DefaultParagraphFont"/>
    <w:link w:val="Footer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Char1">
    <w:name w:val="日期 Char"/>
    <w:basedOn w:val="DefaultParagraphFont"/>
    <w:link w:val="Date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仿宋" w:hAnsi="Times New Roman" w:cstheme="majorBidi"/>
      <w:b/>
      <w:bCs/>
      <w:sz w:val="30"/>
      <w:szCs w:val="32"/>
      <w:lang w:val="en-GB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Times New Roman" w:eastAsia="仿宋" w:hAnsi="Times New Roman" w:cs="Times New Roman"/>
      <w:b/>
      <w:bCs/>
      <w:sz w:val="30"/>
      <w:szCs w:val="32"/>
      <w:lang w:val="en-GB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Theme="majorHAnsi" w:eastAsiaTheme="majorEastAsia" w:hAnsiTheme="majorHAnsi" w:cstheme="majorBidi"/>
      <w:b/>
      <w:bCs/>
      <w:kern w:val="0"/>
      <w:sz w:val="28"/>
      <w:szCs w:val="28"/>
      <w:lang w:val="en-GB"/>
    </w:rPr>
  </w:style>
  <w:style w:type="character" w:customStyle="1" w:styleId="5Char">
    <w:name w:val="标题 5 Char"/>
    <w:basedOn w:val="DefaultParagraphFont"/>
    <w:link w:val="Heading5"/>
    <w:uiPriority w:val="9"/>
    <w:semiHidden/>
    <w:qFormat/>
    <w:rPr>
      <w:rFonts w:ascii="Times New Roman" w:eastAsia="宋体" w:hAnsi="Times New Roman" w:cs="Times New Roman"/>
      <w:b/>
      <w:bCs/>
      <w:kern w:val="0"/>
      <w:sz w:val="28"/>
      <w:szCs w:val="28"/>
      <w:lang w:val="en-GB"/>
    </w:rPr>
  </w:style>
  <w:style w:type="character" w:customStyle="1" w:styleId="6Char">
    <w:name w:val="标题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4"/>
      <w:szCs w:val="24"/>
      <w:lang w:val="en-GB"/>
    </w:rPr>
  </w:style>
  <w:style w:type="character" w:customStyle="1" w:styleId="7Char">
    <w:name w:val="标题 7 Char"/>
    <w:basedOn w:val="DefaultParagraphFont"/>
    <w:link w:val="Heading7"/>
    <w:uiPriority w:val="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customStyle="1" w:styleId="8Char">
    <w:name w:val="标题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kern w:val="0"/>
      <w:sz w:val="24"/>
      <w:szCs w:val="24"/>
      <w:lang w:val="en-GB"/>
    </w:rPr>
  </w:style>
  <w:style w:type="character" w:customStyle="1" w:styleId="9Char">
    <w:name w:val="标题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kern w:val="0"/>
      <w:szCs w:val="21"/>
      <w:lang w:val="en-GB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Char2">
    <w:name w:val="批注文字 Char"/>
    <w:basedOn w:val="DefaultParagraphFont"/>
    <w:link w:val="CommentText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character" w:customStyle="1" w:styleId="Char3">
    <w:name w:val="批注主题 Char"/>
    <w:basedOn w:val="Char2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0"/>
      <w:sz w:val="18"/>
      <w:szCs w:val="18"/>
      <w:lang w:val="en-GB"/>
    </w:rPr>
  </w:style>
  <w:style w:type="paragraph" w:customStyle="1" w:styleId="1">
    <w:name w:val="列出段落1"/>
    <w:basedOn w:val="Normal"/>
    <w:uiPriority w:val="34"/>
    <w:qFormat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a0">
    <w:name w:val="段"/>
    <w:link w:val="Char5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character" w:customStyle="1" w:styleId="Char5">
    <w:name w:val="段 Char"/>
    <w:link w:val="a0"/>
    <w:qFormat/>
    <w:rPr>
      <w:rFonts w:ascii="宋体" w:eastAsia="宋体" w:hAnsi="Times New Roman" w:cs="Times New Roman"/>
      <w:kern w:val="0"/>
      <w:szCs w:val="20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6">
    <w:name w:val="题注 Char"/>
    <w:link w:val="Caption"/>
    <w:qFormat/>
    <w:rPr>
      <w:rFonts w:eastAsia="黑体" w:asciiTheme="majorHAnsi" w:hAnsiTheme="majorHAnsi" w:cstheme="majorBidi"/>
      <w:lang w:val="en-GB"/>
    </w:rPr>
  </w:style>
  <w:style w:type="character" w:customStyle="1" w:styleId="Char7">
    <w:name w:val="正文文本 Char"/>
    <w:basedOn w:val="DefaultParagraphFont"/>
    <w:uiPriority w:val="99"/>
    <w:semiHidden/>
    <w:qFormat/>
    <w:rPr>
      <w:rFonts w:ascii="Times New Roman" w:hAnsi="Times New Roman" w:cs="Times New Roman"/>
      <w:sz w:val="28"/>
      <w:szCs w:val="24"/>
      <w:lang w:val="en-GB"/>
    </w:rPr>
  </w:style>
  <w:style w:type="character" w:customStyle="1" w:styleId="Char10">
    <w:name w:val="正文文本 Char1"/>
    <w:link w:val="BodyText"/>
    <w:qFormat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eader" Target="header1.xml" /><Relationship Id="rId18" Type="http://schemas.openxmlformats.org/officeDocument/2006/relationships/header" Target="header2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10</Pages>
  <Words>2428</Words>
  <Characters>13845</Characters>
  <Application>Microsoft Office Word</Application>
  <DocSecurity>0</DocSecurity>
  <Lines>115</Lines>
  <Paragraphs>32</Paragraphs>
  <ScaleCrop>false</ScaleCrop>
  <Company/>
  <LinksUpToDate>false</LinksUpToDate>
  <CharactersWithSpaces>16241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guanxuxu</dc:creator>
  <cp:lastModifiedBy>guest</cp:lastModifiedBy>
  <cp:revision>1584</cp:revision>
  <cp:lastPrinted>2019-11-23T15:50:00Z</cp:lastPrinted>
  <dcterms:created xsi:type="dcterms:W3CDTF">2018-11-08T20:56:00Z</dcterms:created>
  <dcterms:modified xsi:type="dcterms:W3CDTF">2022-03-03T15:36:42Z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